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spacing w:beforeAutospacing="0" w:afterAutospacing="0" w:line="560" w:lineRule="exact"/>
        <w:jc w:val="center"/>
        <w:rPr>
          <w:rFonts w:ascii="Times New Roman" w:hAnsi="Times New Roman" w:eastAsia="方正小标宋简体"/>
          <w:kern w:val="2"/>
          <w:sz w:val="44"/>
          <w:szCs w:val="32"/>
        </w:rPr>
      </w:pPr>
    </w:p>
    <w:p>
      <w:pPr>
        <w:pStyle w:val="6"/>
        <w:widowControl/>
        <w:shd w:val="clear" w:color="auto" w:fill="FFFFFF"/>
        <w:spacing w:beforeAutospacing="0" w:afterAutospacing="0" w:line="560" w:lineRule="exact"/>
        <w:jc w:val="center"/>
        <w:rPr>
          <w:rFonts w:ascii="Times New Roman" w:hAnsi="Times New Roman" w:eastAsia="方正小标宋简体"/>
          <w:kern w:val="2"/>
          <w:sz w:val="44"/>
          <w:szCs w:val="32"/>
        </w:rPr>
      </w:pPr>
      <w:r>
        <w:rPr>
          <w:rFonts w:hint="eastAsia" w:ascii="Times New Roman" w:hAnsi="Times New Roman" w:eastAsia="方正小标宋简体"/>
          <w:kern w:val="2"/>
          <w:sz w:val="44"/>
          <w:szCs w:val="32"/>
        </w:rPr>
        <w:t>广州期货交易所工业硅期货、期权业务细则</w:t>
      </w:r>
    </w:p>
    <w:p>
      <w:pPr>
        <w:pStyle w:val="6"/>
        <w:widowControl/>
        <w:shd w:val="clear" w:color="auto" w:fill="FFFFFF"/>
        <w:spacing w:beforeAutospacing="0" w:afterAutospacing="0" w:line="560" w:lineRule="exact"/>
        <w:jc w:val="center"/>
        <w:rPr>
          <w:rFonts w:ascii="Times New Roman" w:hAnsi="Times New Roman" w:eastAsia="方正小标宋简体"/>
          <w:kern w:val="2"/>
          <w:sz w:val="44"/>
          <w:szCs w:val="32"/>
        </w:rPr>
      </w:pPr>
      <w:r>
        <w:rPr>
          <w:rFonts w:hint="eastAsia" w:ascii="Times New Roman" w:hAnsi="Times New Roman" w:eastAsia="方正小标宋简体"/>
          <w:kern w:val="2"/>
          <w:sz w:val="44"/>
          <w:szCs w:val="32"/>
        </w:rPr>
        <w:t>（征求意见稿）</w:t>
      </w:r>
    </w:p>
    <w:p>
      <w:pPr>
        <w:pStyle w:val="6"/>
        <w:widowControl/>
        <w:spacing w:beforeAutospacing="0" w:afterAutospacing="0" w:line="560" w:lineRule="exact"/>
        <w:ind w:firstLine="640" w:firstLineChars="200"/>
        <w:jc w:val="center"/>
        <w:rPr>
          <w:rFonts w:ascii="Times New Roman" w:hAnsi="Times New Roman" w:eastAsia="黑体"/>
          <w:sz w:val="32"/>
          <w:szCs w:val="32"/>
        </w:rPr>
      </w:pPr>
    </w:p>
    <w:p>
      <w:pPr>
        <w:pStyle w:val="6"/>
        <w:widowControl/>
        <w:spacing w:beforeAutospacing="0" w:afterAutospacing="0" w:line="560" w:lineRule="exact"/>
        <w:jc w:val="center"/>
        <w:rPr>
          <w:rFonts w:ascii="Times New Roman" w:hAnsi="Times New Roman" w:eastAsia="黑体"/>
          <w:sz w:val="32"/>
          <w:szCs w:val="32"/>
        </w:rPr>
      </w:pPr>
      <w:r>
        <w:rPr>
          <w:rFonts w:hint="eastAsia" w:ascii="Times New Roman" w:hAnsi="Times New Roman" w:eastAsia="黑体"/>
          <w:sz w:val="32"/>
          <w:szCs w:val="32"/>
        </w:rPr>
        <w:t>第一章</w:t>
      </w:r>
      <w:r>
        <w:rPr>
          <w:rFonts w:ascii="Times New Roman" w:hAnsi="Times New Roman" w:eastAsia="黑体"/>
          <w:sz w:val="32"/>
          <w:szCs w:val="32"/>
        </w:rPr>
        <w:t xml:space="preserve"> </w:t>
      </w:r>
      <w:r>
        <w:rPr>
          <w:rFonts w:hint="eastAsia" w:ascii="Times New Roman" w:hAnsi="Times New Roman" w:eastAsia="黑体"/>
          <w:sz w:val="32"/>
          <w:szCs w:val="32"/>
        </w:rPr>
        <w:t>总则</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 xml:space="preserve">第一条 </w:t>
      </w:r>
      <w:r>
        <w:rPr>
          <w:rFonts w:hint="eastAsia" w:ascii="Times New Roman" w:hAnsi="Times New Roman" w:eastAsia="仿宋_GB2312"/>
          <w:sz w:val="32"/>
          <w:szCs w:val="32"/>
        </w:rPr>
        <w:t>为规范广州期货交易所（以下简称交易所）工业硅期货、期权合约交易行为，根据《广州期货交易所交易规则》《广州期货交易所工业硅期货合约》《广州期货交易所工业硅期权合约》，制定本细则。</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 xml:space="preserve">第二条 </w:t>
      </w:r>
      <w:r>
        <w:rPr>
          <w:rFonts w:hint="eastAsia" w:ascii="Times New Roman" w:hAnsi="Times New Roman" w:eastAsia="仿宋_GB2312"/>
          <w:sz w:val="32"/>
          <w:szCs w:val="32"/>
        </w:rPr>
        <w:t>交易所、会员、境外特殊参与者、境外中介机构、客户、指定交割仓库、指定质量检验机构、指定期货保证金存管银行及期货市场其他参与者应当遵守本细则。</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第三条</w:t>
      </w:r>
      <w:r>
        <w:rPr>
          <w:rFonts w:hint="eastAsia" w:ascii="Times New Roman" w:hAnsi="Times New Roman" w:eastAsia="仿宋_GB2312"/>
          <w:sz w:val="32"/>
          <w:szCs w:val="32"/>
        </w:rPr>
        <w:t xml:space="preserve"> 本细则未规定的，按照交易所相关业务规则的规定执行。</w:t>
      </w:r>
    </w:p>
    <w:p>
      <w:pPr>
        <w:pStyle w:val="6"/>
        <w:widowControl/>
        <w:spacing w:beforeAutospacing="0" w:afterAutospacing="0" w:line="560" w:lineRule="exact"/>
        <w:jc w:val="center"/>
        <w:rPr>
          <w:rFonts w:ascii="Times New Roman" w:hAnsi="Times New Roman" w:eastAsia="黑体"/>
          <w:sz w:val="32"/>
          <w:szCs w:val="32"/>
        </w:rPr>
      </w:pPr>
      <w:r>
        <w:rPr>
          <w:rFonts w:hint="eastAsia" w:ascii="Times New Roman" w:hAnsi="Times New Roman" w:eastAsia="黑体"/>
          <w:sz w:val="32"/>
          <w:szCs w:val="32"/>
        </w:rPr>
        <w:t>第二章</w:t>
      </w:r>
      <w:r>
        <w:rPr>
          <w:rFonts w:ascii="Times New Roman" w:hAnsi="Times New Roman" w:eastAsia="黑体"/>
          <w:sz w:val="32"/>
          <w:szCs w:val="32"/>
        </w:rPr>
        <w:t xml:space="preserve"> </w:t>
      </w:r>
      <w:r>
        <w:rPr>
          <w:rFonts w:hint="eastAsia" w:ascii="Times New Roman" w:hAnsi="Times New Roman" w:eastAsia="黑体"/>
          <w:sz w:val="32"/>
          <w:szCs w:val="32"/>
        </w:rPr>
        <w:t>合约主要条款和相关参数</w:t>
      </w:r>
    </w:p>
    <w:p>
      <w:pPr>
        <w:widowControl/>
        <w:spacing w:line="560" w:lineRule="exact"/>
        <w:jc w:val="center"/>
        <w:rPr>
          <w:rFonts w:ascii="Times New Roman" w:hAnsi="Times New Roman" w:eastAsia="黑体"/>
          <w:sz w:val="32"/>
          <w:szCs w:val="32"/>
        </w:rPr>
      </w:pPr>
      <w:r>
        <w:rPr>
          <w:rFonts w:hint="eastAsia" w:ascii="Times New Roman" w:hAnsi="Times New Roman" w:eastAsia="黑体" w:cs="Times New Roman"/>
          <w:sz w:val="32"/>
          <w:szCs w:val="32"/>
        </w:rPr>
        <w:t>第一节</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期货合约</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第四条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工业硅期货合约交割标准品的质量标准适用国家标准及本细则规定。</w:t>
      </w:r>
    </w:p>
    <w:p>
      <w:pPr>
        <w:pStyle w:val="6"/>
        <w:widowControl/>
        <w:spacing w:beforeAutospacing="0" w:afterAutospacing="0" w:line="560" w:lineRule="exact"/>
        <w:ind w:firstLine="643" w:firstLineChars="200"/>
        <w:jc w:val="both"/>
        <w:rPr>
          <w:rFonts w:ascii="Times New Roman" w:hAnsi="Times New Roman" w:eastAsia="仿宋_GB2312"/>
          <w:sz w:val="32"/>
          <w:szCs w:val="32"/>
        </w:rPr>
      </w:pPr>
      <w:r>
        <w:rPr>
          <w:rFonts w:hint="eastAsia" w:ascii="Times New Roman" w:hAnsi="Times New Roman" w:eastAsia="仿宋_GB2312"/>
          <w:b/>
          <w:bCs/>
          <w:sz w:val="32"/>
          <w:szCs w:val="32"/>
        </w:rPr>
        <w:t>基准交割品</w:t>
      </w:r>
      <w:r>
        <w:rPr>
          <w:rFonts w:hint="eastAsia" w:ascii="Times New Roman" w:hAnsi="Times New Roman" w:eastAsia="仿宋_GB2312"/>
          <w:sz w:val="32"/>
          <w:szCs w:val="32"/>
        </w:rPr>
        <w:t>：达到《中华人民共和国国家标准</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工业硅》（GB/T</w:t>
      </w:r>
      <w:r>
        <w:rPr>
          <w:rFonts w:ascii="Times New Roman" w:hAnsi="Times New Roman" w:eastAsia="仿宋_GB2312"/>
          <w:sz w:val="32"/>
          <w:szCs w:val="32"/>
        </w:rPr>
        <w:t xml:space="preserve"> 2881-2014</w:t>
      </w:r>
      <w:r>
        <w:rPr>
          <w:rFonts w:hint="eastAsia" w:ascii="Times New Roman" w:hAnsi="Times New Roman" w:eastAsia="仿宋_GB2312"/>
          <w:sz w:val="32"/>
          <w:szCs w:val="32"/>
        </w:rPr>
        <w:t>，以下简称《工业硅国标》）规定牌号为</w:t>
      </w:r>
      <w:r>
        <w:rPr>
          <w:rFonts w:ascii="Times New Roman" w:hAnsi="Times New Roman" w:eastAsia="仿宋_GB2312"/>
          <w:sz w:val="32"/>
          <w:szCs w:val="32"/>
        </w:rPr>
        <w:t>Si5530</w:t>
      </w:r>
      <w:r>
        <w:rPr>
          <w:rFonts w:hint="eastAsia" w:ascii="Times New Roman" w:hAnsi="Times New Roman" w:eastAsia="仿宋_GB2312"/>
          <w:sz w:val="32"/>
          <w:szCs w:val="32"/>
        </w:rPr>
        <w:t>（名义硅含量≥98.7%、铁含量≤0.50%、铝含量≤0.50%、钙含量≤0.30%），粒度为10~100mm的工业硅（其中，粒度偏差筛下物不大于5%，筛上物不大于5%）。</w:t>
      </w:r>
    </w:p>
    <w:p>
      <w:pPr>
        <w:pStyle w:val="6"/>
        <w:widowControl/>
        <w:spacing w:beforeAutospacing="0" w:afterAutospacing="0" w:line="560" w:lineRule="exact"/>
        <w:ind w:firstLine="643" w:firstLineChars="200"/>
        <w:jc w:val="both"/>
        <w:rPr>
          <w:rFonts w:ascii="Times New Roman" w:hAnsi="Times New Roman" w:eastAsia="仿宋_GB2312"/>
          <w:sz w:val="32"/>
          <w:szCs w:val="32"/>
        </w:rPr>
      </w:pPr>
      <w:r>
        <w:rPr>
          <w:rFonts w:hint="eastAsia" w:ascii="Times New Roman" w:hAnsi="Times New Roman" w:eastAsia="仿宋_GB2312"/>
          <w:b/>
          <w:bCs/>
          <w:sz w:val="32"/>
          <w:szCs w:val="32"/>
        </w:rPr>
        <w:t>替代交割品及升贴水</w:t>
      </w:r>
      <w:r>
        <w:rPr>
          <w:rFonts w:hint="eastAsia" w:ascii="Times New Roman" w:hAnsi="Times New Roman" w:eastAsia="仿宋_GB2312"/>
          <w:sz w:val="32"/>
          <w:szCs w:val="32"/>
        </w:rPr>
        <w:t>：达到《工业硅国标》规定牌号为Si4210（名义硅含量≥99.3%、铁含量≤0.40%、铝含量≤0.20%、钙含量≤0.10%），粒度为10~100mm的工业硅（其中，粒度偏差筛下物不大于5%，筛上物不大于5%）；升水2000元/吨。</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第五条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工业硅期货合约采用实物交割，交割单位为5吨（</w:t>
      </w:r>
      <w:r>
        <w:rPr>
          <w:rFonts w:ascii="Times New Roman" w:hAnsi="Times New Roman" w:eastAsia="仿宋_GB2312"/>
          <w:sz w:val="32"/>
          <w:szCs w:val="32"/>
        </w:rPr>
        <w:t>净重</w:t>
      </w:r>
      <w:r>
        <w:rPr>
          <w:rFonts w:hint="eastAsia" w:ascii="Times New Roman" w:hAnsi="Times New Roman" w:eastAsia="仿宋_GB2312"/>
          <w:sz w:val="32"/>
          <w:szCs w:val="32"/>
        </w:rPr>
        <w:t>）。</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第六条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工业硅指定交割仓库分为基准交割仓库和非基准交割仓库（详见《广州期货交易所工业硅期货指定交割仓库名录》），交易所可视情况对工业硅指定交割仓库进行调整。</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第七条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工业硅期货合约的合约月份为1、2、3、4、5、6、7、8、9、10、11、12月。</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第八条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工业硅期货合约的交易单位为</w:t>
      </w:r>
      <w:r>
        <w:rPr>
          <w:rFonts w:ascii="Times New Roman" w:hAnsi="Times New Roman" w:eastAsia="仿宋_GB2312"/>
          <w:sz w:val="32"/>
          <w:szCs w:val="32"/>
        </w:rPr>
        <w:t>5</w:t>
      </w:r>
      <w:r>
        <w:rPr>
          <w:rFonts w:hint="eastAsia" w:ascii="Times New Roman" w:hAnsi="Times New Roman" w:eastAsia="仿宋_GB2312"/>
          <w:sz w:val="32"/>
          <w:szCs w:val="32"/>
        </w:rPr>
        <w:t>吨/手。</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第九条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工业硅期货合约的报价单位为元（人民币）/吨。</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第十条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工业硅期货合约的最小变动价位为</w:t>
      </w:r>
      <w:r>
        <w:rPr>
          <w:rFonts w:ascii="Times New Roman" w:hAnsi="Times New Roman" w:eastAsia="仿宋_GB2312"/>
          <w:sz w:val="32"/>
          <w:szCs w:val="32"/>
        </w:rPr>
        <w:t>5</w:t>
      </w:r>
      <w:r>
        <w:rPr>
          <w:rFonts w:hint="eastAsia" w:ascii="Times New Roman" w:hAnsi="Times New Roman" w:eastAsia="仿宋_GB2312"/>
          <w:sz w:val="32"/>
          <w:szCs w:val="32"/>
        </w:rPr>
        <w:t>元/吨。</w:t>
      </w:r>
    </w:p>
    <w:p>
      <w:pPr>
        <w:pStyle w:val="6"/>
        <w:widowControl/>
        <w:numPr>
          <w:ilvl w:val="255"/>
          <w:numId w:val="0"/>
        </w:numPr>
        <w:spacing w:beforeAutospacing="0" w:afterAutospacing="0" w:line="560" w:lineRule="exact"/>
        <w:ind w:firstLine="640" w:firstLineChars="200"/>
        <w:jc w:val="both"/>
        <w:rPr>
          <w:rFonts w:ascii="Times New Roman" w:hAnsi="Times New Roman" w:eastAsia="黑体"/>
          <w:sz w:val="32"/>
          <w:szCs w:val="32"/>
        </w:rPr>
      </w:pPr>
      <w:r>
        <w:rPr>
          <w:rFonts w:hint="eastAsia" w:ascii="Times New Roman" w:hAnsi="Times New Roman" w:eastAsia="黑体"/>
          <w:sz w:val="32"/>
          <w:szCs w:val="32"/>
        </w:rPr>
        <w:t>第十一条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工业硅期货合约的交易指令每次最大下单数量为1000手，最小下单手数为1手，交易所可根据市场情况进行调整并另行公告。</w:t>
      </w:r>
    </w:p>
    <w:p>
      <w:pPr>
        <w:pStyle w:val="6"/>
        <w:widowControl/>
        <w:spacing w:beforeAutospacing="0" w:afterAutospacing="0" w:line="560" w:lineRule="exact"/>
        <w:ind w:firstLine="640" w:firstLineChars="200"/>
        <w:jc w:val="both"/>
        <w:rPr>
          <w:rFonts w:ascii="Times New Roman" w:hAnsi="Times New Roman" w:eastAsia="黑体"/>
          <w:sz w:val="32"/>
          <w:szCs w:val="32"/>
        </w:rPr>
      </w:pPr>
      <w:r>
        <w:rPr>
          <w:rFonts w:hint="eastAsia" w:ascii="Times New Roman" w:hAnsi="Times New Roman" w:eastAsia="黑体"/>
          <w:sz w:val="32"/>
          <w:szCs w:val="32"/>
        </w:rPr>
        <w:t xml:space="preserve">第十二条 </w:t>
      </w:r>
      <w:r>
        <w:rPr>
          <w:rFonts w:hint="eastAsia" w:ascii="Times New Roman" w:hAnsi="Times New Roman" w:eastAsia="仿宋_GB2312"/>
          <w:sz w:val="32"/>
          <w:szCs w:val="40"/>
        </w:rPr>
        <w:t>工业硅期货合约交割月份以前的月份涨跌停板幅度为上一交易日结算价的4%，交割月份的涨跌停板幅度为上一交易日结算价的6%。</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第十三条</w:t>
      </w:r>
      <w:r>
        <w:rPr>
          <w:rFonts w:hint="eastAsia" w:ascii="Times New Roman" w:hAnsi="Times New Roman" w:eastAsia="仿宋_GB2312"/>
          <w:sz w:val="32"/>
          <w:szCs w:val="32"/>
        </w:rPr>
        <w:t xml:space="preserve"> 工业硅期货合约的最低交易保证金为合约价值的5%。自进入交割月份前一个月第十五个交易日起，交易所将分时间段逐步提高合约的交易保证金标准，交易保证金标准为：</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14"/>
        <w:gridCol w:w="3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4" w:type="dxa"/>
          </w:tcPr>
          <w:p>
            <w:pPr>
              <w:pStyle w:val="6"/>
              <w:widowControl/>
              <w:spacing w:beforeAutospacing="0" w:afterAutospacing="0" w:line="560" w:lineRule="exact"/>
              <w:jc w:val="center"/>
              <w:rPr>
                <w:rFonts w:ascii="Times New Roman" w:hAnsi="Times New Roman" w:eastAsia="仿宋_GB2312"/>
                <w:sz w:val="32"/>
                <w:szCs w:val="32"/>
              </w:rPr>
            </w:pPr>
            <w:r>
              <w:rPr>
                <w:rFonts w:hint="eastAsia" w:ascii="Times New Roman" w:hAnsi="Times New Roman" w:eastAsia="仿宋_GB2312"/>
                <w:sz w:val="32"/>
                <w:szCs w:val="32"/>
              </w:rPr>
              <w:t>交易时间段</w:t>
            </w:r>
          </w:p>
        </w:tc>
        <w:tc>
          <w:tcPr>
            <w:tcW w:w="3108" w:type="dxa"/>
          </w:tcPr>
          <w:p>
            <w:pPr>
              <w:pStyle w:val="6"/>
              <w:widowControl/>
              <w:spacing w:beforeAutospacing="0" w:afterAutospacing="0" w:line="560" w:lineRule="exact"/>
              <w:jc w:val="center"/>
              <w:rPr>
                <w:rFonts w:ascii="Times New Roman" w:hAnsi="Times New Roman" w:eastAsia="仿宋_GB2312"/>
                <w:sz w:val="32"/>
                <w:szCs w:val="32"/>
              </w:rPr>
            </w:pPr>
            <w:r>
              <w:rPr>
                <w:rFonts w:hint="eastAsia" w:ascii="Times New Roman" w:hAnsi="Times New Roman" w:eastAsia="仿宋_GB2312"/>
                <w:sz w:val="32"/>
                <w:szCs w:val="32"/>
              </w:rPr>
              <w:t>交易保证金标准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4" w:type="dxa"/>
          </w:tcPr>
          <w:p>
            <w:pPr>
              <w:pStyle w:val="6"/>
              <w:widowControl/>
              <w:spacing w:beforeAutospacing="0" w:afterAutospacing="0" w:line="560" w:lineRule="exact"/>
              <w:jc w:val="center"/>
              <w:rPr>
                <w:rFonts w:ascii="Times New Roman" w:hAnsi="Times New Roman" w:eastAsia="仿宋_GB2312"/>
                <w:sz w:val="32"/>
                <w:szCs w:val="32"/>
              </w:rPr>
            </w:pPr>
            <w:r>
              <w:rPr>
                <w:rFonts w:hint="eastAsia" w:ascii="Times New Roman" w:hAnsi="Times New Roman" w:eastAsia="仿宋_GB2312"/>
                <w:sz w:val="32"/>
                <w:szCs w:val="32"/>
              </w:rPr>
              <w:t>交割月份前一个月第十五个交易日起</w:t>
            </w:r>
          </w:p>
        </w:tc>
        <w:tc>
          <w:tcPr>
            <w:tcW w:w="3108" w:type="dxa"/>
          </w:tcPr>
          <w:p>
            <w:pPr>
              <w:pStyle w:val="6"/>
              <w:widowControl/>
              <w:spacing w:beforeAutospacing="0" w:afterAutospacing="0" w:line="560" w:lineRule="exact"/>
              <w:jc w:val="center"/>
              <w:rPr>
                <w:rFonts w:ascii="Times New Roman" w:hAnsi="Times New Roman" w:eastAsia="仿宋_GB2312"/>
                <w:sz w:val="32"/>
                <w:szCs w:val="32"/>
              </w:rPr>
            </w:pPr>
            <w:r>
              <w:rPr>
                <w:rFonts w:ascii="Times New Roman" w:hAnsi="Times New Roman" w:eastAsia="仿宋_GB2312"/>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14" w:type="dxa"/>
          </w:tcPr>
          <w:p>
            <w:pPr>
              <w:pStyle w:val="6"/>
              <w:widowControl/>
              <w:spacing w:beforeAutospacing="0" w:afterAutospacing="0" w:line="560" w:lineRule="exact"/>
              <w:jc w:val="center"/>
              <w:rPr>
                <w:rFonts w:ascii="Times New Roman" w:hAnsi="Times New Roman" w:eastAsia="仿宋_GB2312"/>
                <w:sz w:val="32"/>
                <w:szCs w:val="32"/>
              </w:rPr>
            </w:pPr>
            <w:r>
              <w:rPr>
                <w:rFonts w:hint="eastAsia" w:ascii="Times New Roman" w:hAnsi="Times New Roman" w:eastAsia="仿宋_GB2312"/>
                <w:sz w:val="32"/>
                <w:szCs w:val="32"/>
              </w:rPr>
              <w:t>交割月份第一个交易日起</w:t>
            </w:r>
          </w:p>
        </w:tc>
        <w:tc>
          <w:tcPr>
            <w:tcW w:w="3108" w:type="dxa"/>
          </w:tcPr>
          <w:p>
            <w:pPr>
              <w:pStyle w:val="6"/>
              <w:widowControl/>
              <w:spacing w:beforeAutospacing="0" w:afterAutospacing="0" w:line="560" w:lineRule="exact"/>
              <w:jc w:val="center"/>
              <w:rPr>
                <w:rFonts w:ascii="Times New Roman" w:hAnsi="Times New Roman" w:eastAsia="仿宋_GB2312"/>
                <w:sz w:val="32"/>
                <w:szCs w:val="32"/>
              </w:rPr>
            </w:pPr>
            <w:r>
              <w:rPr>
                <w:rFonts w:ascii="Times New Roman" w:hAnsi="Times New Roman" w:eastAsia="仿宋_GB2312"/>
                <w:sz w:val="32"/>
                <w:szCs w:val="32"/>
              </w:rPr>
              <w:t>20%</w:t>
            </w:r>
          </w:p>
        </w:tc>
      </w:tr>
    </w:tbl>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第十四条</w:t>
      </w:r>
      <w:r>
        <w:rPr>
          <w:rFonts w:hint="eastAsia" w:ascii="Times New Roman" w:hAnsi="Times New Roman" w:eastAsia="仿宋_GB2312"/>
          <w:sz w:val="32"/>
          <w:szCs w:val="32"/>
        </w:rPr>
        <w:t xml:space="preserve"> 工业硅期货合约非期货公司会员、境外特殊非经纪参与者、客户持仓限额见下表，交割月份个人客户持仓限额为0手：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6"/>
        <w:gridCol w:w="2630"/>
        <w:gridCol w:w="2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shd w:val="clear" w:color="auto" w:fill="auto"/>
            <w:vAlign w:val="center"/>
          </w:tcPr>
          <w:p>
            <w:pPr>
              <w:spacing w:line="56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时间段</w:t>
            </w:r>
          </w:p>
        </w:tc>
        <w:tc>
          <w:tcPr>
            <w:tcW w:w="0" w:type="auto"/>
            <w:gridSpan w:val="2"/>
            <w:shd w:val="clear" w:color="auto" w:fill="auto"/>
            <w:vAlign w:val="center"/>
          </w:tcPr>
          <w:p>
            <w:pPr>
              <w:spacing w:line="56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非期货公司会员</w:t>
            </w:r>
            <w:r>
              <w:rPr>
                <w:rFonts w:hint="eastAsia" w:ascii="Times New Roman" w:hAnsi="Times New Roman" w:eastAsia="仿宋_GB2312" w:cs="Times New Roman"/>
                <w:bCs/>
                <w:sz w:val="32"/>
                <w:szCs w:val="32"/>
              </w:rPr>
              <w:t>、</w:t>
            </w:r>
            <w:r>
              <w:rPr>
                <w:rFonts w:hint="eastAsia" w:ascii="Times New Roman" w:hAnsi="Times New Roman" w:eastAsia="仿宋_GB2312" w:cs="Times New Roman"/>
                <w:sz w:val="32"/>
                <w:szCs w:val="32"/>
              </w:rPr>
              <w:t>境外特殊非经纪参与者、客户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0" w:type="auto"/>
            <w:vMerge w:val="restart"/>
            <w:shd w:val="clear" w:color="auto" w:fill="auto"/>
            <w:vAlign w:val="center"/>
          </w:tcPr>
          <w:p>
            <w:pPr>
              <w:spacing w:line="56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一般月份</w:t>
            </w:r>
          </w:p>
        </w:tc>
        <w:tc>
          <w:tcPr>
            <w:tcW w:w="0" w:type="auto"/>
            <w:vAlign w:val="center"/>
          </w:tcPr>
          <w:p>
            <w:pPr>
              <w:spacing w:line="56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N&gt;</w:t>
            </w:r>
            <w:r>
              <w:rPr>
                <w:rFonts w:hint="eastAsia" w:ascii="Times New Roman" w:hAnsi="Times New Roman" w:eastAsia="仿宋_GB2312" w:cs="Times New Roman"/>
                <w:bCs/>
                <w:sz w:val="32"/>
                <w:szCs w:val="32"/>
              </w:rPr>
              <w:t>3</w:t>
            </w:r>
            <w:r>
              <w:rPr>
                <w:rFonts w:ascii="Times New Roman" w:hAnsi="Times New Roman" w:eastAsia="仿宋_GB2312" w:cs="Times New Roman"/>
                <w:bCs/>
                <w:sz w:val="32"/>
                <w:szCs w:val="32"/>
              </w:rPr>
              <w:t>万手</w:t>
            </w:r>
          </w:p>
        </w:tc>
        <w:tc>
          <w:tcPr>
            <w:tcW w:w="0" w:type="auto"/>
            <w:vAlign w:val="center"/>
          </w:tcPr>
          <w:p>
            <w:pPr>
              <w:spacing w:line="56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N×10%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0" w:type="auto"/>
            <w:vMerge w:val="continue"/>
            <w:shd w:val="clear" w:color="auto" w:fill="auto"/>
            <w:vAlign w:val="center"/>
          </w:tcPr>
          <w:p>
            <w:pPr>
              <w:spacing w:line="560" w:lineRule="exact"/>
              <w:jc w:val="center"/>
              <w:rPr>
                <w:rFonts w:ascii="Times New Roman" w:hAnsi="Times New Roman" w:eastAsia="仿宋_GB2312" w:cs="Times New Roman"/>
                <w:bCs/>
                <w:sz w:val="32"/>
                <w:szCs w:val="32"/>
              </w:rPr>
            </w:pPr>
          </w:p>
        </w:tc>
        <w:tc>
          <w:tcPr>
            <w:tcW w:w="0" w:type="auto"/>
            <w:vAlign w:val="center"/>
          </w:tcPr>
          <w:p>
            <w:pPr>
              <w:spacing w:line="56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N≤</w:t>
            </w:r>
            <w:r>
              <w:rPr>
                <w:rFonts w:hint="eastAsia" w:ascii="Times New Roman" w:hAnsi="Times New Roman" w:eastAsia="仿宋_GB2312" w:cs="Times New Roman"/>
                <w:bCs/>
                <w:sz w:val="32"/>
                <w:szCs w:val="32"/>
              </w:rPr>
              <w:t>3</w:t>
            </w:r>
            <w:r>
              <w:rPr>
                <w:rFonts w:ascii="Times New Roman" w:hAnsi="Times New Roman" w:eastAsia="仿宋_GB2312" w:cs="Times New Roman"/>
                <w:bCs/>
                <w:sz w:val="32"/>
                <w:szCs w:val="32"/>
              </w:rPr>
              <w:t>万手</w:t>
            </w:r>
          </w:p>
        </w:tc>
        <w:tc>
          <w:tcPr>
            <w:tcW w:w="0" w:type="auto"/>
            <w:vAlign w:val="center"/>
          </w:tcPr>
          <w:p>
            <w:pPr>
              <w:spacing w:line="560" w:lineRule="exact"/>
              <w:jc w:val="center"/>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3</w:t>
            </w:r>
            <w:r>
              <w:rPr>
                <w:rFonts w:ascii="Times New Roman" w:hAnsi="Times New Roman" w:eastAsia="仿宋_GB2312" w:cs="Times New Roman"/>
                <w:bCs/>
                <w:sz w:val="32"/>
                <w:szCs w:val="32"/>
              </w:rPr>
              <w:t>000手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shd w:val="clear" w:color="auto" w:fill="auto"/>
            <w:vAlign w:val="center"/>
          </w:tcPr>
          <w:p>
            <w:pPr>
              <w:spacing w:line="56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交割月份前一个月第</w:t>
            </w:r>
            <w:r>
              <w:rPr>
                <w:rFonts w:hint="eastAsia" w:ascii="Times New Roman" w:hAnsi="Times New Roman" w:eastAsia="仿宋_GB2312" w:cs="Times New Roman"/>
                <w:bCs/>
                <w:sz w:val="32"/>
                <w:szCs w:val="32"/>
              </w:rPr>
              <w:t>十五</w:t>
            </w:r>
            <w:r>
              <w:rPr>
                <w:rFonts w:ascii="Times New Roman" w:hAnsi="Times New Roman" w:eastAsia="仿宋_GB2312" w:cs="Times New Roman"/>
                <w:bCs/>
                <w:sz w:val="32"/>
                <w:szCs w:val="32"/>
              </w:rPr>
              <w:t>个交易日起</w:t>
            </w:r>
          </w:p>
        </w:tc>
        <w:tc>
          <w:tcPr>
            <w:tcW w:w="0" w:type="auto"/>
            <w:gridSpan w:val="2"/>
            <w:shd w:val="clear" w:color="auto" w:fill="auto"/>
            <w:vAlign w:val="center"/>
          </w:tcPr>
          <w:p>
            <w:pPr>
              <w:spacing w:line="560" w:lineRule="exact"/>
              <w:jc w:val="center"/>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900</w:t>
            </w:r>
            <w:r>
              <w:rPr>
                <w:rFonts w:ascii="Times New Roman" w:hAnsi="Times New Roman" w:eastAsia="仿宋_GB2312" w:cs="Times New Roman"/>
                <w:bCs/>
                <w:sz w:val="32"/>
                <w:szCs w:val="32"/>
              </w:rPr>
              <w:t>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0" w:type="auto"/>
            <w:shd w:val="clear" w:color="auto" w:fill="auto"/>
            <w:vAlign w:val="center"/>
          </w:tcPr>
          <w:p>
            <w:pPr>
              <w:spacing w:line="560" w:lineRule="exact"/>
              <w:jc w:val="center"/>
              <w:rPr>
                <w:rFonts w:ascii="Times New Roman" w:hAnsi="Times New Roman" w:eastAsia="仿宋_GB2312" w:cs="Times New Roman"/>
                <w:bCs/>
                <w:sz w:val="32"/>
                <w:szCs w:val="32"/>
              </w:rPr>
            </w:pPr>
            <w:r>
              <w:rPr>
                <w:rFonts w:ascii="Times New Roman" w:hAnsi="Times New Roman" w:eastAsia="仿宋_GB2312" w:cs="Times New Roman"/>
                <w:bCs/>
                <w:sz w:val="32"/>
                <w:szCs w:val="32"/>
              </w:rPr>
              <w:t>交割月份</w:t>
            </w:r>
          </w:p>
        </w:tc>
        <w:tc>
          <w:tcPr>
            <w:tcW w:w="0" w:type="auto"/>
            <w:gridSpan w:val="2"/>
            <w:shd w:val="clear" w:color="auto" w:fill="auto"/>
            <w:vAlign w:val="center"/>
          </w:tcPr>
          <w:p>
            <w:pPr>
              <w:spacing w:line="560" w:lineRule="exact"/>
              <w:jc w:val="center"/>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2</w:t>
            </w:r>
            <w:r>
              <w:rPr>
                <w:rFonts w:ascii="Times New Roman" w:hAnsi="Times New Roman" w:eastAsia="仿宋_GB2312" w:cs="Times New Roman"/>
                <w:bCs/>
                <w:sz w:val="32"/>
                <w:szCs w:val="32"/>
              </w:rPr>
              <w:t>00手</w:t>
            </w:r>
          </w:p>
        </w:tc>
      </w:tr>
    </w:tbl>
    <w:p>
      <w:pPr>
        <w:pStyle w:val="6"/>
        <w:widowControl/>
        <w:spacing w:beforeAutospacing="0" w:afterAutospacing="0" w:line="560" w:lineRule="exact"/>
        <w:jc w:val="both"/>
        <w:rPr>
          <w:rFonts w:ascii="Times New Roman" w:hAnsi="Times New Roman" w:eastAsia="仿宋_GB2312"/>
          <w:sz w:val="32"/>
          <w:szCs w:val="32"/>
        </w:rPr>
      </w:pPr>
      <w:r>
        <w:rPr>
          <w:rFonts w:ascii="Times New Roman" w:hAnsi="Times New Roman" w:eastAsia="仿宋_GB2312"/>
          <w:sz w:val="32"/>
          <w:szCs w:val="32"/>
        </w:rPr>
        <w:t>注：</w:t>
      </w:r>
      <w:r>
        <w:rPr>
          <w:rFonts w:ascii="Times New Roman" w:hAnsi="Times New Roman" w:eastAsia="仿宋_GB2312"/>
          <w:color w:val="000000"/>
          <w:sz w:val="32"/>
          <w:szCs w:val="32"/>
        </w:rPr>
        <w:t>N为</w:t>
      </w:r>
      <w:r>
        <w:rPr>
          <w:rFonts w:ascii="Times New Roman" w:hAnsi="Times New Roman" w:eastAsia="仿宋_GB2312"/>
          <w:sz w:val="32"/>
          <w:szCs w:val="32"/>
        </w:rPr>
        <w:t>某一合约单边持仓总量。</w:t>
      </w:r>
    </w:p>
    <w:p>
      <w:pPr>
        <w:spacing w:line="560" w:lineRule="exact"/>
        <w:ind w:right="-92" w:rightChars="-44" w:firstLine="640" w:firstLineChars="200"/>
        <w:rPr>
          <w:rFonts w:ascii="Times New Roman" w:hAnsi="Times New Roman" w:eastAsia="仿宋_GB2312" w:cs="Times New Roman"/>
          <w:bCs/>
          <w:sz w:val="32"/>
          <w:szCs w:val="32"/>
        </w:rPr>
      </w:pPr>
      <w:r>
        <w:rPr>
          <w:rFonts w:hint="eastAsia" w:ascii="Times New Roman" w:hAnsi="Times New Roman" w:eastAsia="黑体" w:cs="Times New Roman"/>
          <w:kern w:val="0"/>
          <w:sz w:val="32"/>
          <w:szCs w:val="32"/>
        </w:rPr>
        <w:t xml:space="preserve">第十五条 </w:t>
      </w:r>
      <w:r>
        <w:rPr>
          <w:rFonts w:ascii="Times New Roman" w:hAnsi="Times New Roman" w:eastAsia="仿宋_GB2312" w:cs="Times New Roman"/>
          <w:bCs/>
          <w:sz w:val="32"/>
          <w:szCs w:val="32"/>
        </w:rPr>
        <w:t>非期货公司</w:t>
      </w:r>
      <w:r>
        <w:rPr>
          <w:rFonts w:hint="eastAsia" w:ascii="Times New Roman" w:hAnsi="Times New Roman" w:eastAsia="仿宋_GB2312" w:cs="Times New Roman"/>
          <w:bCs/>
          <w:sz w:val="32"/>
          <w:szCs w:val="32"/>
        </w:rPr>
        <w:t>会</w:t>
      </w:r>
      <w:r>
        <w:rPr>
          <w:rFonts w:ascii="Times New Roman" w:hAnsi="Times New Roman" w:eastAsia="仿宋_GB2312" w:cs="Times New Roman"/>
          <w:bCs/>
          <w:sz w:val="32"/>
          <w:szCs w:val="32"/>
        </w:rPr>
        <w:t>员、境外特殊非经纪参与者、客户</w:t>
      </w:r>
      <w:r>
        <w:rPr>
          <w:rFonts w:hint="eastAsia" w:ascii="Times New Roman" w:hAnsi="Times New Roman" w:eastAsia="仿宋_GB2312" w:cs="Times New Roman"/>
          <w:bCs/>
          <w:sz w:val="32"/>
          <w:szCs w:val="32"/>
        </w:rPr>
        <w:t>工业硅期货合约大户报告标准为交易所对其规定的</w:t>
      </w:r>
      <w:r>
        <w:rPr>
          <w:rFonts w:ascii="Times New Roman" w:hAnsi="Times New Roman" w:eastAsia="仿宋_GB2312" w:cs="Times New Roman"/>
          <w:bCs/>
          <w:sz w:val="32"/>
          <w:szCs w:val="32"/>
        </w:rPr>
        <w:t>持仓限</w:t>
      </w:r>
      <w:r>
        <w:rPr>
          <w:rFonts w:hint="eastAsia" w:ascii="Times New Roman" w:hAnsi="Times New Roman" w:eastAsia="仿宋_GB2312" w:cs="Times New Roman"/>
          <w:bCs/>
          <w:sz w:val="32"/>
          <w:szCs w:val="32"/>
        </w:rPr>
        <w:t>额</w:t>
      </w:r>
      <w:r>
        <w:rPr>
          <w:rFonts w:ascii="Times New Roman" w:hAnsi="Times New Roman" w:eastAsia="仿宋_GB2312" w:cs="Times New Roman"/>
          <w:bCs/>
          <w:sz w:val="32"/>
          <w:szCs w:val="32"/>
        </w:rPr>
        <w:t>的80%</w:t>
      </w:r>
      <w:r>
        <w:rPr>
          <w:rFonts w:hint="eastAsia" w:ascii="Times New Roman" w:hAnsi="Times New Roman" w:eastAsia="仿宋_GB2312" w:cs="Times New Roman"/>
          <w:bCs/>
          <w:sz w:val="32"/>
          <w:szCs w:val="32"/>
        </w:rPr>
        <w:t>（含本数）</w:t>
      </w:r>
      <w:r>
        <w:rPr>
          <w:rFonts w:ascii="Times New Roman" w:hAnsi="Times New Roman" w:eastAsia="仿宋_GB2312" w:cs="Times New Roman"/>
          <w:bCs/>
          <w:sz w:val="32"/>
          <w:szCs w:val="32"/>
        </w:rPr>
        <w:t>。</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第十六条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工业硅期货合约的最后交易日为合约月份第10个交易日。</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第十七条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工业硅期货合约的最后交割日为最后交易日后第3个交易日。</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第十八条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工业硅期货合约的交易代码为</w:t>
      </w:r>
      <w:r>
        <w:rPr>
          <w:rFonts w:ascii="Times New Roman" w:hAnsi="Times New Roman" w:eastAsia="仿宋_GB2312"/>
          <w:sz w:val="32"/>
          <w:szCs w:val="32"/>
        </w:rPr>
        <w:t>SI</w:t>
      </w:r>
      <w:r>
        <w:rPr>
          <w:rFonts w:hint="eastAsia" w:ascii="Times New Roman" w:hAnsi="Times New Roman" w:eastAsia="仿宋_GB2312"/>
          <w:sz w:val="32"/>
          <w:szCs w:val="32"/>
        </w:rPr>
        <w:t>。</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第十九条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工业硅期货合约当日结算价是指期货合约当日成交价格按照成交量的加权平均价。</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 xml:space="preserve">          </w:t>
      </w:r>
    </w:p>
    <w:p>
      <w:pPr>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第二节</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期权合约</w:t>
      </w:r>
    </w:p>
    <w:p>
      <w:pPr>
        <w:pStyle w:val="6"/>
        <w:widowControl/>
        <w:spacing w:beforeAutospacing="0" w:afterAutospacing="0" w:line="560" w:lineRule="exact"/>
        <w:ind w:firstLine="640" w:firstLineChars="200"/>
        <w:jc w:val="both"/>
        <w:rPr>
          <w:rFonts w:ascii="Times New Roman" w:hAnsi="Times New Roman" w:eastAsia="仿宋_GB2312"/>
          <w:b/>
          <w:bCs/>
          <w:sz w:val="32"/>
          <w:szCs w:val="32"/>
        </w:rPr>
      </w:pPr>
      <w:r>
        <w:rPr>
          <w:rFonts w:hint="eastAsia" w:ascii="Times New Roman" w:hAnsi="Times New Roman" w:eastAsia="黑体"/>
          <w:sz w:val="32"/>
          <w:szCs w:val="32"/>
        </w:rPr>
        <w:t>第二十条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工业硅期权合约的标的物为工业硅期货合约。</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第二十一条</w:t>
      </w:r>
      <w:r>
        <w:rPr>
          <w:rFonts w:ascii="Times New Roman" w:hAnsi="Times New Roman" w:eastAsia="黑体"/>
          <w:sz w:val="32"/>
          <w:szCs w:val="32"/>
        </w:rPr>
        <w:t xml:space="preserve"> </w:t>
      </w:r>
      <w:r>
        <w:rPr>
          <w:rFonts w:hint="eastAsia" w:ascii="Times New Roman" w:hAnsi="Times New Roman" w:eastAsia="仿宋_GB2312"/>
          <w:sz w:val="32"/>
          <w:szCs w:val="32"/>
        </w:rPr>
        <w:t>工业硅期权合约交易代码为</w:t>
      </w:r>
      <w:r>
        <w:rPr>
          <w:rFonts w:ascii="Times New Roman" w:hAnsi="Times New Roman" w:eastAsia="仿宋_GB2312"/>
          <w:sz w:val="32"/>
          <w:szCs w:val="32"/>
        </w:rPr>
        <w:t>SI</w:t>
      </w:r>
      <w:r>
        <w:rPr>
          <w:rFonts w:hint="eastAsia" w:ascii="Times New Roman" w:hAnsi="Times New Roman" w:eastAsia="仿宋_GB2312"/>
          <w:sz w:val="32"/>
          <w:szCs w:val="32"/>
        </w:rPr>
        <w:t>－合约月份－</w:t>
      </w:r>
      <w:r>
        <w:rPr>
          <w:rFonts w:ascii="Times New Roman" w:hAnsi="Times New Roman" w:eastAsia="仿宋_GB2312"/>
          <w:sz w:val="32"/>
          <w:szCs w:val="32"/>
        </w:rPr>
        <w:t>C/P</w:t>
      </w:r>
      <w:r>
        <w:rPr>
          <w:rFonts w:hint="eastAsia" w:ascii="Times New Roman" w:hAnsi="Times New Roman" w:eastAsia="仿宋_GB2312"/>
          <w:sz w:val="32"/>
          <w:szCs w:val="32"/>
        </w:rPr>
        <w:t>－行权价格，其中，</w:t>
      </w:r>
      <w:r>
        <w:rPr>
          <w:rFonts w:ascii="Times New Roman" w:hAnsi="Times New Roman" w:eastAsia="仿宋_GB2312"/>
          <w:sz w:val="32"/>
          <w:szCs w:val="32"/>
        </w:rPr>
        <w:t>SI</w:t>
      </w:r>
      <w:r>
        <w:rPr>
          <w:rFonts w:hint="eastAsia" w:ascii="Times New Roman" w:hAnsi="Times New Roman" w:eastAsia="仿宋_GB2312"/>
          <w:sz w:val="32"/>
          <w:szCs w:val="32"/>
        </w:rPr>
        <w:t>是工业硅期货的代码，</w:t>
      </w:r>
      <w:r>
        <w:rPr>
          <w:rFonts w:ascii="Times New Roman" w:hAnsi="Times New Roman" w:eastAsia="仿宋_GB2312"/>
          <w:sz w:val="32"/>
          <w:szCs w:val="32"/>
        </w:rPr>
        <w:t>C</w:t>
      </w:r>
      <w:r>
        <w:rPr>
          <w:rFonts w:hint="eastAsia" w:ascii="Times New Roman" w:hAnsi="Times New Roman" w:eastAsia="仿宋_GB2312"/>
          <w:sz w:val="32"/>
          <w:szCs w:val="32"/>
        </w:rPr>
        <w:t>和</w:t>
      </w:r>
      <w:r>
        <w:rPr>
          <w:rFonts w:ascii="Times New Roman" w:hAnsi="Times New Roman" w:eastAsia="仿宋_GB2312"/>
          <w:sz w:val="32"/>
          <w:szCs w:val="32"/>
        </w:rPr>
        <w:t>P</w:t>
      </w:r>
      <w:r>
        <w:rPr>
          <w:rFonts w:hint="eastAsia" w:ascii="Times New Roman" w:hAnsi="Times New Roman" w:eastAsia="仿宋_GB2312"/>
          <w:sz w:val="32"/>
          <w:szCs w:val="32"/>
        </w:rPr>
        <w:t>分别代表看涨期权和看跌期权的合约类型代码。</w:t>
      </w:r>
    </w:p>
    <w:p>
      <w:pPr>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黑体" w:cs="Times New Roman"/>
          <w:kern w:val="0"/>
          <w:sz w:val="32"/>
          <w:szCs w:val="32"/>
        </w:rPr>
        <w:t>第二十二条</w:t>
      </w:r>
      <w:r>
        <w:rPr>
          <w:rFonts w:ascii="Times New Roman" w:hAnsi="Times New Roman" w:eastAsia="仿宋_GB2312" w:cs="Times New Roman"/>
          <w:kern w:val="0"/>
          <w:sz w:val="32"/>
          <w:szCs w:val="32"/>
        </w:rPr>
        <w:t xml:space="preserve"> 1</w:t>
      </w:r>
      <w:r>
        <w:rPr>
          <w:rFonts w:hint="eastAsia" w:ascii="Times New Roman" w:hAnsi="Times New Roman" w:eastAsia="仿宋_GB2312" w:cs="Times New Roman"/>
          <w:kern w:val="0"/>
          <w:sz w:val="32"/>
          <w:szCs w:val="32"/>
        </w:rPr>
        <w:t>手工业硅期权合约对应</w:t>
      </w: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手（</w:t>
      </w:r>
      <w:r>
        <w:rPr>
          <w:rFonts w:ascii="Times New Roman" w:hAnsi="Times New Roman" w:eastAsia="仿宋_GB2312" w:cs="Times New Roman"/>
          <w:kern w:val="0"/>
          <w:sz w:val="32"/>
          <w:szCs w:val="32"/>
        </w:rPr>
        <w:t>5</w:t>
      </w:r>
      <w:r>
        <w:rPr>
          <w:rFonts w:hint="eastAsia" w:ascii="Times New Roman" w:hAnsi="Times New Roman" w:eastAsia="仿宋_GB2312" w:cs="Times New Roman"/>
          <w:kern w:val="0"/>
          <w:sz w:val="32"/>
          <w:szCs w:val="32"/>
        </w:rPr>
        <w:t>吨）工业硅期货合约。</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第二十三条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工业硅期权合约的报价单位为元（人民币）</w:t>
      </w:r>
      <w:r>
        <w:rPr>
          <w:rFonts w:ascii="Times New Roman" w:hAnsi="Times New Roman" w:eastAsia="仿宋_GB2312"/>
          <w:sz w:val="32"/>
          <w:szCs w:val="32"/>
        </w:rPr>
        <w:t>/</w:t>
      </w:r>
      <w:r>
        <w:rPr>
          <w:rFonts w:hint="eastAsia" w:ascii="Times New Roman" w:hAnsi="Times New Roman" w:eastAsia="仿宋_GB2312"/>
          <w:sz w:val="32"/>
          <w:szCs w:val="32"/>
        </w:rPr>
        <w:t>吨。</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第二十四条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工业硅期权合约的最小变动价位为</w:t>
      </w:r>
      <w:r>
        <w:rPr>
          <w:rFonts w:ascii="Times New Roman" w:hAnsi="Times New Roman" w:eastAsia="仿宋_GB2312"/>
          <w:sz w:val="32"/>
          <w:szCs w:val="32"/>
        </w:rPr>
        <w:t>1</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吨。</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第二十五条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工业硅期权合约行权方式为美式，买方在合约到期日及其之前任一交易日均可行使权利。</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第二十六条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工业硅期权合约月份为</w:t>
      </w:r>
      <w:r>
        <w:rPr>
          <w:rFonts w:ascii="Times New Roman" w:hAnsi="Times New Roman" w:eastAsia="仿宋_GB2312"/>
          <w:sz w:val="32"/>
          <w:szCs w:val="32"/>
        </w:rPr>
        <w:t>1</w:t>
      </w:r>
      <w:r>
        <w:rPr>
          <w:rFonts w:hint="eastAsia" w:ascii="Times New Roman" w:hAnsi="Times New Roman" w:eastAsia="仿宋_GB2312"/>
          <w:sz w:val="32"/>
          <w:szCs w:val="32"/>
        </w:rPr>
        <w:t>、</w:t>
      </w:r>
      <w:r>
        <w:rPr>
          <w:rFonts w:ascii="Times New Roman" w:hAnsi="Times New Roman" w:eastAsia="仿宋_GB2312"/>
          <w:sz w:val="32"/>
          <w:szCs w:val="32"/>
        </w:rPr>
        <w:t>2</w:t>
      </w:r>
      <w:r>
        <w:rPr>
          <w:rFonts w:hint="eastAsia" w:ascii="Times New Roman" w:hAnsi="Times New Roman" w:eastAsia="仿宋_GB2312"/>
          <w:sz w:val="32"/>
          <w:szCs w:val="32"/>
        </w:rPr>
        <w:t>、</w:t>
      </w:r>
      <w:r>
        <w:rPr>
          <w:rFonts w:ascii="Times New Roman" w:hAnsi="Times New Roman" w:eastAsia="仿宋_GB2312"/>
          <w:sz w:val="32"/>
          <w:szCs w:val="32"/>
        </w:rPr>
        <w:t>3</w:t>
      </w:r>
      <w:r>
        <w:rPr>
          <w:rFonts w:hint="eastAsia" w:ascii="Times New Roman" w:hAnsi="Times New Roman" w:eastAsia="仿宋_GB2312"/>
          <w:sz w:val="32"/>
          <w:szCs w:val="32"/>
        </w:rPr>
        <w:t>、</w:t>
      </w:r>
      <w:r>
        <w:rPr>
          <w:rFonts w:ascii="Times New Roman" w:hAnsi="Times New Roman" w:eastAsia="仿宋_GB2312"/>
          <w:sz w:val="32"/>
          <w:szCs w:val="32"/>
        </w:rPr>
        <w:t>4</w:t>
      </w:r>
      <w:r>
        <w:rPr>
          <w:rFonts w:hint="eastAsia" w:ascii="Times New Roman" w:hAnsi="Times New Roman" w:eastAsia="仿宋_GB2312"/>
          <w:sz w:val="32"/>
          <w:szCs w:val="32"/>
        </w:rPr>
        <w:t>、</w:t>
      </w:r>
      <w:r>
        <w:rPr>
          <w:rFonts w:ascii="Times New Roman" w:hAnsi="Times New Roman" w:eastAsia="仿宋_GB2312"/>
          <w:sz w:val="32"/>
          <w:szCs w:val="32"/>
        </w:rPr>
        <w:t>5</w:t>
      </w:r>
      <w:r>
        <w:rPr>
          <w:rFonts w:hint="eastAsia" w:ascii="Times New Roman" w:hAnsi="Times New Roman" w:eastAsia="仿宋_GB2312"/>
          <w:sz w:val="32"/>
          <w:szCs w:val="32"/>
        </w:rPr>
        <w:t>、</w:t>
      </w:r>
      <w:r>
        <w:rPr>
          <w:rFonts w:ascii="Times New Roman" w:hAnsi="Times New Roman" w:eastAsia="仿宋_GB2312"/>
          <w:sz w:val="32"/>
          <w:szCs w:val="32"/>
        </w:rPr>
        <w:t>6</w:t>
      </w:r>
      <w:r>
        <w:rPr>
          <w:rFonts w:hint="eastAsia" w:ascii="Times New Roman" w:hAnsi="Times New Roman" w:eastAsia="仿宋_GB2312"/>
          <w:sz w:val="32"/>
          <w:szCs w:val="32"/>
        </w:rPr>
        <w:t>、</w:t>
      </w:r>
      <w:r>
        <w:rPr>
          <w:rFonts w:ascii="Times New Roman" w:hAnsi="Times New Roman" w:eastAsia="仿宋_GB2312"/>
          <w:sz w:val="32"/>
          <w:szCs w:val="32"/>
        </w:rPr>
        <w:t>7</w:t>
      </w:r>
      <w:r>
        <w:rPr>
          <w:rFonts w:hint="eastAsia" w:ascii="Times New Roman" w:hAnsi="Times New Roman" w:eastAsia="仿宋_GB2312"/>
          <w:sz w:val="32"/>
          <w:szCs w:val="32"/>
        </w:rPr>
        <w:t>、</w:t>
      </w:r>
      <w:r>
        <w:rPr>
          <w:rFonts w:ascii="Times New Roman" w:hAnsi="Times New Roman" w:eastAsia="仿宋_GB2312"/>
          <w:sz w:val="32"/>
          <w:szCs w:val="32"/>
        </w:rPr>
        <w:t>8</w:t>
      </w:r>
      <w:r>
        <w:rPr>
          <w:rFonts w:hint="eastAsia" w:ascii="Times New Roman" w:hAnsi="Times New Roman" w:eastAsia="仿宋_GB2312"/>
          <w:sz w:val="32"/>
          <w:szCs w:val="32"/>
        </w:rPr>
        <w:t>、</w:t>
      </w:r>
      <w:r>
        <w:rPr>
          <w:rFonts w:ascii="Times New Roman" w:hAnsi="Times New Roman" w:eastAsia="仿宋_GB2312"/>
          <w:sz w:val="32"/>
          <w:szCs w:val="32"/>
        </w:rPr>
        <w:t>9</w:t>
      </w:r>
      <w:r>
        <w:rPr>
          <w:rFonts w:hint="eastAsia" w:ascii="Times New Roman" w:hAnsi="Times New Roman" w:eastAsia="仿宋_GB2312"/>
          <w:sz w:val="32"/>
          <w:szCs w:val="32"/>
        </w:rPr>
        <w:t>、</w:t>
      </w:r>
      <w:r>
        <w:rPr>
          <w:rFonts w:ascii="Times New Roman" w:hAnsi="Times New Roman" w:eastAsia="仿宋_GB2312"/>
          <w:sz w:val="32"/>
          <w:szCs w:val="32"/>
        </w:rPr>
        <w:t>10</w:t>
      </w:r>
      <w:r>
        <w:rPr>
          <w:rFonts w:hint="eastAsia" w:ascii="Times New Roman" w:hAnsi="Times New Roman" w:eastAsia="仿宋_GB2312"/>
          <w:sz w:val="32"/>
          <w:szCs w:val="32"/>
        </w:rPr>
        <w:t>、</w:t>
      </w:r>
      <w:r>
        <w:rPr>
          <w:rFonts w:ascii="Times New Roman" w:hAnsi="Times New Roman" w:eastAsia="仿宋_GB2312"/>
          <w:sz w:val="32"/>
          <w:szCs w:val="32"/>
        </w:rPr>
        <w:t>11</w:t>
      </w:r>
      <w:r>
        <w:rPr>
          <w:rFonts w:hint="eastAsia" w:ascii="Times New Roman" w:hAnsi="Times New Roman" w:eastAsia="仿宋_GB2312"/>
          <w:sz w:val="32"/>
          <w:szCs w:val="32"/>
        </w:rPr>
        <w:t>、</w:t>
      </w:r>
      <w:r>
        <w:rPr>
          <w:rFonts w:ascii="Times New Roman" w:hAnsi="Times New Roman" w:eastAsia="仿宋_GB2312"/>
          <w:sz w:val="32"/>
          <w:szCs w:val="32"/>
        </w:rPr>
        <w:t>12</w:t>
      </w:r>
      <w:r>
        <w:rPr>
          <w:rFonts w:hint="eastAsia" w:ascii="Times New Roman" w:hAnsi="Times New Roman" w:eastAsia="仿宋_GB2312"/>
          <w:sz w:val="32"/>
          <w:szCs w:val="32"/>
        </w:rPr>
        <w:t>月。</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第二十七条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工业硅期权合约行权价格覆盖标的工业硅期货合约上一交易日结算价上下浮动</w:t>
      </w:r>
      <w:r>
        <w:rPr>
          <w:rFonts w:ascii="Times New Roman" w:hAnsi="Times New Roman" w:eastAsia="仿宋_GB2312"/>
          <w:sz w:val="32"/>
          <w:szCs w:val="32"/>
        </w:rPr>
        <w:t>1.5</w:t>
      </w:r>
      <w:r>
        <w:rPr>
          <w:rFonts w:hint="eastAsia" w:ascii="Times New Roman" w:hAnsi="Times New Roman" w:eastAsia="仿宋_GB2312"/>
          <w:sz w:val="32"/>
          <w:szCs w:val="32"/>
        </w:rPr>
        <w:t>倍当日涨跌停板幅度对应的价格范围。</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第二十八条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工业硅期权的行权价格间距设置为：行权价格≤</w:t>
      </w:r>
      <w:r>
        <w:rPr>
          <w:rFonts w:ascii="Times New Roman" w:hAnsi="Times New Roman" w:eastAsia="仿宋_GB2312"/>
          <w:sz w:val="32"/>
          <w:szCs w:val="32"/>
        </w:rPr>
        <w:t>10000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吨，行权价格间距为</w:t>
      </w:r>
      <w:r>
        <w:rPr>
          <w:rFonts w:ascii="Times New Roman" w:hAnsi="Times New Roman" w:eastAsia="仿宋_GB2312"/>
          <w:sz w:val="32"/>
          <w:szCs w:val="32"/>
        </w:rPr>
        <w:t>100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吨；</w:t>
      </w:r>
      <w:r>
        <w:rPr>
          <w:rFonts w:ascii="Times New Roman" w:hAnsi="Times New Roman" w:eastAsia="仿宋_GB2312"/>
          <w:sz w:val="32"/>
          <w:szCs w:val="32"/>
        </w:rPr>
        <w:t>10000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吨</w:t>
      </w:r>
      <m:oMath>
        <m:r>
          <m:rPr>
            <m:sty m:val="p"/>
          </m:rPr>
          <w:rPr>
            <w:rFonts w:ascii="Cambria Math" w:hAnsi="Cambria Math" w:eastAsia="仿宋_GB2312"/>
            <w:sz w:val="32"/>
            <w:szCs w:val="32"/>
          </w:rPr>
          <m:t>&lt;</m:t>
        </m:r>
      </m:oMath>
      <w:r>
        <w:rPr>
          <w:rFonts w:hint="eastAsia" w:ascii="Times New Roman" w:hAnsi="Times New Roman" w:eastAsia="仿宋_GB2312"/>
          <w:sz w:val="32"/>
          <w:szCs w:val="32"/>
        </w:rPr>
        <w:t>行权价格≤</w:t>
      </w:r>
      <w:r>
        <w:rPr>
          <w:rFonts w:ascii="Times New Roman" w:hAnsi="Times New Roman" w:eastAsia="仿宋_GB2312"/>
          <w:sz w:val="32"/>
          <w:szCs w:val="32"/>
        </w:rPr>
        <w:t>30000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吨，行权价格间距为</w:t>
      </w:r>
      <w:r>
        <w:rPr>
          <w:rFonts w:ascii="Times New Roman" w:hAnsi="Times New Roman" w:eastAsia="仿宋_GB2312"/>
          <w:sz w:val="32"/>
          <w:szCs w:val="32"/>
        </w:rPr>
        <w:t>200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吨；行权价格＞</w:t>
      </w:r>
      <w:r>
        <w:rPr>
          <w:rFonts w:ascii="Times New Roman" w:hAnsi="Times New Roman" w:eastAsia="仿宋_GB2312"/>
          <w:sz w:val="32"/>
          <w:szCs w:val="32"/>
        </w:rPr>
        <w:t>30000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吨，行权价格间距为</w:t>
      </w:r>
      <w:r>
        <w:rPr>
          <w:rFonts w:ascii="Times New Roman" w:hAnsi="Times New Roman" w:eastAsia="仿宋_GB2312"/>
          <w:sz w:val="32"/>
          <w:szCs w:val="32"/>
        </w:rPr>
        <w:t>400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吨。</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第二十九条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工业硅期权交易时间与工业硅期货交易时间一致。</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第三十条</w:t>
      </w:r>
      <w:r>
        <w:rPr>
          <w:rFonts w:ascii="Times New Roman" w:hAnsi="Times New Roman" w:eastAsia="黑体"/>
          <w:sz w:val="32"/>
          <w:szCs w:val="32"/>
        </w:rPr>
        <w:t xml:space="preserve"> </w:t>
      </w:r>
      <w:r>
        <w:rPr>
          <w:rFonts w:hint="eastAsia" w:ascii="Times New Roman" w:hAnsi="Times New Roman" w:eastAsia="仿宋_GB2312"/>
          <w:sz w:val="32"/>
          <w:szCs w:val="32"/>
        </w:rPr>
        <w:t>工业</w:t>
      </w:r>
      <w:bookmarkStart w:id="1" w:name="_GoBack"/>
      <w:bookmarkEnd w:id="1"/>
      <w:r>
        <w:rPr>
          <w:rFonts w:hint="eastAsia" w:ascii="Times New Roman" w:hAnsi="Times New Roman" w:eastAsia="仿宋_GB2312"/>
          <w:sz w:val="32"/>
          <w:szCs w:val="32"/>
        </w:rPr>
        <w:t>硅期权最后交易日为标的期货合约交割月份前一个月的第</w:t>
      </w:r>
      <w:r>
        <w:rPr>
          <w:rFonts w:ascii="Times New Roman" w:hAnsi="Times New Roman" w:eastAsia="仿宋_GB2312"/>
          <w:sz w:val="32"/>
          <w:szCs w:val="32"/>
        </w:rPr>
        <w:t>5</w:t>
      </w:r>
      <w:r>
        <w:rPr>
          <w:rFonts w:hint="eastAsia" w:ascii="Times New Roman" w:hAnsi="Times New Roman" w:eastAsia="仿宋_GB2312"/>
          <w:sz w:val="32"/>
          <w:szCs w:val="32"/>
        </w:rPr>
        <w:t>个交易日。</w:t>
      </w:r>
    </w:p>
    <w:p>
      <w:pPr>
        <w:spacing w:line="560" w:lineRule="exact"/>
        <w:ind w:firstLine="640" w:firstLineChars="200"/>
        <w:rPr>
          <w:rFonts w:hint="default" w:ascii="Times New Roman" w:hAnsi="Times New Roman" w:eastAsia="仿宋_GB2312" w:cs="Times New Roman"/>
          <w:kern w:val="0"/>
          <w:sz w:val="32"/>
        </w:rPr>
      </w:pPr>
      <w:r>
        <w:rPr>
          <w:rFonts w:hint="eastAsia" w:ascii="Times New Roman" w:hAnsi="Times New Roman" w:eastAsia="黑体" w:cs="Times New Roman"/>
          <w:sz w:val="32"/>
          <w:szCs w:val="32"/>
        </w:rPr>
        <w:t>第三十一条</w:t>
      </w:r>
      <w:bookmarkStart w:id="0" w:name="_Hlk118245395"/>
      <w:r>
        <w:rPr>
          <w:rFonts w:hint="eastAsia" w:ascii="Times New Roman" w:hAnsi="Times New Roman" w:eastAsia="黑体" w:cs="Times New Roman"/>
          <w:sz w:val="32"/>
          <w:szCs w:val="32"/>
        </w:rPr>
        <w:t xml:space="preserve"> </w:t>
      </w:r>
      <w:r>
        <w:rPr>
          <w:rFonts w:hint="eastAsia" w:ascii="仿宋_GB2312" w:eastAsia="仿宋_GB2312" w:cs="Times New Roman"/>
          <w:kern w:val="0"/>
          <w:sz w:val="32"/>
        </w:rPr>
        <w:t>工业硅期权合约的交易指令每次最大下单数</w:t>
      </w:r>
      <w:r>
        <w:rPr>
          <w:rFonts w:hint="default" w:ascii="Times New Roman" w:hAnsi="Times New Roman" w:eastAsia="仿宋_GB2312" w:cs="Times New Roman"/>
          <w:kern w:val="0"/>
          <w:sz w:val="32"/>
        </w:rPr>
        <w:t>量为1000手，最小下单手数为1手，交易所可根据市场情况进行调整并另行公告。</w:t>
      </w:r>
    </w:p>
    <w:bookmarkEnd w:id="0"/>
    <w:p>
      <w:pPr>
        <w:widowControl/>
        <w:spacing w:line="560" w:lineRule="exact"/>
        <w:ind w:firstLine="640" w:firstLineChars="200"/>
        <w:rPr>
          <w:rFonts w:ascii="仿宋_GB2312" w:hAnsi="仿宋_GB2312" w:eastAsia="仿宋_GB2312" w:cs="仿宋_GB2312"/>
          <w:color w:val="000000"/>
          <w:sz w:val="32"/>
          <w:szCs w:val="32"/>
        </w:rPr>
      </w:pPr>
      <w:r>
        <w:rPr>
          <w:rFonts w:hint="default" w:ascii="Times New Roman" w:hAnsi="Times New Roman" w:eastAsia="黑体" w:cs="Times New Roman"/>
          <w:sz w:val="32"/>
          <w:szCs w:val="32"/>
        </w:rPr>
        <w:t xml:space="preserve">第三十二条 </w:t>
      </w:r>
      <w:r>
        <w:rPr>
          <w:rFonts w:hint="default" w:ascii="Times New Roman" w:hAnsi="Times New Roman" w:eastAsia="仿宋_GB2312" w:cs="Times New Roman"/>
          <w:color w:val="000000"/>
          <w:sz w:val="32"/>
          <w:szCs w:val="32"/>
        </w:rPr>
        <w:t>非期货公司会员、境外特殊非经纪参与者、客户持有的工业硅期权某月份期权合约中所有看涨期权的买持仓量和看跌期权的卖持仓量之和、看跌期权的买持仓量和看涨期权的卖持仓量之和，分别不得超过3000手。</w:t>
      </w:r>
    </w:p>
    <w:p>
      <w:pPr>
        <w:widowControl/>
        <w:spacing w:line="560" w:lineRule="exact"/>
        <w:ind w:firstLine="640" w:firstLineChars="200"/>
        <w:rPr>
          <w:rFonts w:ascii="仿宋_GB2312" w:hAnsi="仿宋_GB2312" w:eastAsia="仿宋_GB2312" w:cs="仿宋_GB2312"/>
          <w:color w:val="000000"/>
          <w:sz w:val="32"/>
          <w:szCs w:val="32"/>
        </w:rPr>
      </w:pPr>
      <w:r>
        <w:rPr>
          <w:rFonts w:hint="eastAsia" w:ascii="Times New Roman" w:hAnsi="Times New Roman" w:eastAsia="黑体" w:cs="Times New Roman"/>
          <w:sz w:val="32"/>
          <w:szCs w:val="32"/>
        </w:rPr>
        <w:t>第三十三条</w:t>
      </w:r>
      <w:r>
        <w:rPr>
          <w:rFonts w:ascii="仿宋_GB2312" w:hAnsi="仿宋_GB2312" w:eastAsia="仿宋_GB2312" w:cs="仿宋_GB2312"/>
          <w:color w:val="000000"/>
          <w:sz w:val="32"/>
          <w:szCs w:val="32"/>
        </w:rPr>
        <w:t xml:space="preserve"> </w:t>
      </w:r>
      <w:r>
        <w:rPr>
          <w:rFonts w:hint="eastAsia" w:ascii="Times New Roman" w:hAnsi="Times New Roman" w:eastAsia="仿宋_GB2312" w:cs="Times New Roman"/>
          <w:sz w:val="32"/>
          <w:szCs w:val="40"/>
        </w:rPr>
        <w:t>非期货公司会员、境外特殊非经纪参与者、客户工业硅期权合约大户报告标准为交易所对其规定的持仓限额的80%（含本数）。</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 xml:space="preserve">第三十四条 </w:t>
      </w:r>
      <w:r>
        <w:rPr>
          <w:rFonts w:hint="eastAsia" w:ascii="Times New Roman" w:hAnsi="Times New Roman" w:eastAsia="仿宋_GB2312"/>
          <w:sz w:val="32"/>
          <w:szCs w:val="40"/>
        </w:rPr>
        <w:t>其他交易、结算、风控措施具体参照《广州期货交易所交易管理办法》《广州期货交易所结算管理办法》《广州期货交易所风险管理办法》等有关规定。</w:t>
      </w:r>
    </w:p>
    <w:p>
      <w:pPr>
        <w:pStyle w:val="6"/>
        <w:widowControl/>
        <w:spacing w:beforeAutospacing="0" w:afterAutospacing="0" w:line="560" w:lineRule="exact"/>
        <w:jc w:val="center"/>
        <w:rPr>
          <w:rFonts w:ascii="Times New Roman" w:hAnsi="Times New Roman" w:eastAsia="黑体"/>
          <w:sz w:val="32"/>
          <w:szCs w:val="32"/>
        </w:rPr>
      </w:pPr>
      <w:r>
        <w:rPr>
          <w:rFonts w:hint="eastAsia" w:ascii="Times New Roman" w:hAnsi="Times New Roman" w:eastAsia="黑体"/>
          <w:sz w:val="32"/>
          <w:szCs w:val="32"/>
        </w:rPr>
        <w:t>第三章</w:t>
      </w:r>
      <w:r>
        <w:rPr>
          <w:rFonts w:ascii="Times New Roman" w:hAnsi="Times New Roman" w:eastAsia="黑体"/>
          <w:sz w:val="32"/>
          <w:szCs w:val="32"/>
        </w:rPr>
        <w:t xml:space="preserve"> </w:t>
      </w:r>
      <w:r>
        <w:rPr>
          <w:rFonts w:hint="eastAsia" w:ascii="Times New Roman" w:hAnsi="Times New Roman" w:eastAsia="黑体"/>
          <w:sz w:val="32"/>
          <w:szCs w:val="32"/>
        </w:rPr>
        <w:t>交割业务</w:t>
      </w:r>
    </w:p>
    <w:p>
      <w:pPr>
        <w:pStyle w:val="6"/>
        <w:widowControl/>
        <w:spacing w:beforeAutospacing="0" w:afterAutospacing="0" w:line="560" w:lineRule="exact"/>
        <w:jc w:val="center"/>
        <w:rPr>
          <w:rFonts w:ascii="Times New Roman" w:hAnsi="Times New Roman" w:eastAsia="黑体"/>
          <w:sz w:val="32"/>
          <w:szCs w:val="32"/>
        </w:rPr>
      </w:pPr>
      <w:r>
        <w:rPr>
          <w:rFonts w:hint="eastAsia" w:ascii="Times New Roman" w:hAnsi="Times New Roman" w:eastAsia="黑体"/>
          <w:sz w:val="32"/>
          <w:szCs w:val="32"/>
        </w:rPr>
        <w:t>第一节</w:t>
      </w:r>
      <w:r>
        <w:rPr>
          <w:rFonts w:ascii="Times New Roman" w:hAnsi="Times New Roman" w:eastAsia="黑体"/>
          <w:sz w:val="32"/>
          <w:szCs w:val="32"/>
        </w:rPr>
        <w:t xml:space="preserve"> </w:t>
      </w:r>
      <w:r>
        <w:rPr>
          <w:rFonts w:hint="eastAsia" w:ascii="Times New Roman" w:hAnsi="Times New Roman" w:eastAsia="黑体"/>
          <w:sz w:val="32"/>
          <w:szCs w:val="32"/>
        </w:rPr>
        <w:t>一般规定</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第三十五条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工业硅期货合约适用期货转现货（以下简称期转现）、滚动交割和一次性交割。具体交割流程按照《广州期货交易所交割管理办法》《广州期货交易所结算管理办法》及本细则相关规定执行。</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第三十六条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工业硅期货标准仓单分为仓库标准仓单和厂库标准仓单。</w:t>
      </w:r>
    </w:p>
    <w:p>
      <w:pPr>
        <w:pStyle w:val="6"/>
        <w:widowControl/>
        <w:spacing w:beforeAutospacing="0" w:afterAutospacing="0" w:line="560" w:lineRule="exact"/>
        <w:ind w:firstLine="640" w:firstLineChars="200"/>
        <w:jc w:val="both"/>
        <w:rPr>
          <w:rFonts w:ascii="Times New Roman" w:hAnsi="Times New Roman" w:eastAsia="仿宋_GB2312"/>
          <w:b/>
          <w:bCs/>
          <w:sz w:val="32"/>
          <w:szCs w:val="32"/>
        </w:rPr>
      </w:pPr>
      <w:r>
        <w:rPr>
          <w:rFonts w:hint="eastAsia" w:ascii="Times New Roman" w:hAnsi="Times New Roman" w:eastAsia="黑体"/>
          <w:sz w:val="32"/>
          <w:szCs w:val="32"/>
        </w:rPr>
        <w:t>第三十七条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工业硅期货合约质量升贴水的差价款由货主同指定交割仓库结算。</w:t>
      </w:r>
    </w:p>
    <w:p>
      <w:pPr>
        <w:pStyle w:val="6"/>
        <w:widowControl/>
        <w:spacing w:beforeAutospacing="0" w:afterAutospacing="0" w:line="560" w:lineRule="exact"/>
        <w:ind w:firstLine="640" w:firstLineChars="200"/>
        <w:jc w:val="both"/>
        <w:rPr>
          <w:rFonts w:ascii="Times New Roman" w:hAnsi="Times New Roman" w:eastAsia="黑体"/>
          <w:sz w:val="32"/>
          <w:szCs w:val="32"/>
        </w:rPr>
      </w:pPr>
      <w:r>
        <w:rPr>
          <w:rFonts w:hint="eastAsia" w:ascii="Times New Roman" w:hAnsi="Times New Roman" w:eastAsia="黑体"/>
          <w:sz w:val="32"/>
          <w:szCs w:val="32"/>
        </w:rPr>
        <w:t>第三十八条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工业硅期货交割品包装物采用双层、中间加固拦腰围带的塑料编织袋，并做铅封处理。包装袋上应当标明产品名称、产品牌号、执行标准、生产企业名称、批号、净重。</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第三十九条</w:t>
      </w:r>
      <w:r>
        <w:rPr>
          <w:rFonts w:hint="eastAsia" w:ascii="Times New Roman" w:hAnsi="Times New Roman" w:eastAsia="仿宋_GB2312"/>
          <w:sz w:val="32"/>
          <w:szCs w:val="32"/>
        </w:rPr>
        <w:t xml:space="preserve"> 工业硅期货交割品按照净重结算，重量以指定交割仓库称重为准。</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第四十条</w:t>
      </w:r>
      <w:r>
        <w:rPr>
          <w:rFonts w:hint="eastAsia" w:ascii="Times New Roman" w:hAnsi="Times New Roman" w:eastAsia="仿宋_GB2312"/>
          <w:sz w:val="32"/>
          <w:szCs w:val="32"/>
        </w:rPr>
        <w:t xml:space="preserve"> 生产（出厂）日期在90天以内（含当日）的工业硅可以申请注册标准仓单。</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第四十一条</w:t>
      </w:r>
      <w:r>
        <w:rPr>
          <w:rFonts w:hint="eastAsia" w:ascii="Times New Roman" w:hAnsi="Times New Roman" w:eastAsia="仿宋_GB2312"/>
          <w:sz w:val="32"/>
          <w:szCs w:val="32"/>
        </w:rPr>
        <w:t xml:space="preserve"> 每年11月30日之前</w:t>
      </w:r>
      <w:r>
        <w:rPr>
          <w:rFonts w:ascii="Times New Roman" w:hAnsi="Times New Roman" w:eastAsia="仿宋_GB2312"/>
          <w:sz w:val="32"/>
          <w:szCs w:val="32"/>
        </w:rPr>
        <w:t>（含</w:t>
      </w:r>
      <w:r>
        <w:rPr>
          <w:rFonts w:hint="eastAsia" w:ascii="Times New Roman" w:hAnsi="Times New Roman" w:eastAsia="仿宋_GB2312"/>
          <w:sz w:val="32"/>
          <w:szCs w:val="32"/>
        </w:rPr>
        <w:t>当</w:t>
      </w:r>
      <w:r>
        <w:rPr>
          <w:rFonts w:ascii="Times New Roman" w:hAnsi="Times New Roman" w:eastAsia="仿宋_GB2312"/>
          <w:sz w:val="32"/>
          <w:szCs w:val="32"/>
        </w:rPr>
        <w:t>日）</w:t>
      </w:r>
      <w:r>
        <w:rPr>
          <w:rFonts w:hint="eastAsia" w:ascii="Times New Roman" w:hAnsi="Times New Roman" w:eastAsia="仿宋_GB2312"/>
          <w:sz w:val="32"/>
          <w:szCs w:val="32"/>
        </w:rPr>
        <w:t>注册的工业硅期货标准仓单，应在当日之前</w:t>
      </w:r>
      <w:r>
        <w:rPr>
          <w:rFonts w:ascii="Times New Roman" w:hAnsi="Times New Roman" w:eastAsia="仿宋_GB2312"/>
          <w:sz w:val="32"/>
          <w:szCs w:val="32"/>
        </w:rPr>
        <w:t>（含</w:t>
      </w:r>
      <w:r>
        <w:rPr>
          <w:rFonts w:hint="eastAsia" w:ascii="Times New Roman" w:hAnsi="Times New Roman" w:eastAsia="仿宋_GB2312"/>
          <w:sz w:val="32"/>
          <w:szCs w:val="32"/>
        </w:rPr>
        <w:t>当</w:t>
      </w:r>
      <w:r>
        <w:rPr>
          <w:rFonts w:ascii="Times New Roman" w:hAnsi="Times New Roman" w:eastAsia="仿宋_GB2312"/>
          <w:sz w:val="32"/>
          <w:szCs w:val="32"/>
        </w:rPr>
        <w:t>日）</w:t>
      </w:r>
      <w:r>
        <w:rPr>
          <w:rFonts w:hint="eastAsia" w:ascii="Times New Roman" w:hAnsi="Times New Roman" w:eastAsia="仿宋_GB2312"/>
          <w:sz w:val="32"/>
          <w:szCs w:val="32"/>
        </w:rPr>
        <w:t>全部注销。注销后，未出库的且生产（出厂）日期在90天以内（含当日）的可以重新申请注册，无需进行质量检验。</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第四十二条</w:t>
      </w:r>
      <w:r>
        <w:rPr>
          <w:rFonts w:hint="eastAsia" w:ascii="Times New Roman" w:hAnsi="Times New Roman" w:eastAsia="仿宋_GB2312"/>
          <w:sz w:val="32"/>
          <w:szCs w:val="32"/>
        </w:rPr>
        <w:t xml:space="preserve"> 工业硅在贮存过程中应防止雨淋或受潮。</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第四十三条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工业硅期货交割开具增值税专用发票。</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第四十四条</w:t>
      </w:r>
      <w:r>
        <w:rPr>
          <w:rFonts w:hint="eastAsia" w:ascii="Times New Roman" w:hAnsi="Times New Roman" w:eastAsia="仿宋_GB2312"/>
          <w:sz w:val="32"/>
          <w:szCs w:val="32"/>
        </w:rPr>
        <w:t xml:space="preserve"> 工业硅期货指定仓库、厂库及相关升贴水由交易所确定并公布。交易所可以视情况对工业硅期货指定仓库、厂库及相关升贴水进行调整。</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 xml:space="preserve">第四十五条 </w:t>
      </w:r>
      <w:r>
        <w:rPr>
          <w:rFonts w:hint="eastAsia" w:ascii="Times New Roman" w:hAnsi="Times New Roman" w:eastAsia="仿宋_GB2312"/>
          <w:sz w:val="32"/>
          <w:szCs w:val="32"/>
        </w:rPr>
        <w:t>工业硅期货交割手续费、仓储费、出入库费、检验费等交割相关费用标准由交易所另行规定并公布。</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第四十六条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工业硅期货标准仓单生成、流通、注销等相关业务，本细则未规定的，适用《广州期货交易所标准仓单管理办法》相关规定。</w:t>
      </w:r>
    </w:p>
    <w:p>
      <w:pPr>
        <w:pStyle w:val="6"/>
        <w:widowControl/>
        <w:spacing w:beforeAutospacing="0" w:afterAutospacing="0" w:line="560" w:lineRule="exact"/>
        <w:jc w:val="center"/>
        <w:rPr>
          <w:rFonts w:ascii="Times New Roman" w:hAnsi="Times New Roman" w:eastAsia="仿宋_GB2312"/>
          <w:sz w:val="32"/>
          <w:szCs w:val="32"/>
        </w:rPr>
      </w:pPr>
      <w:r>
        <w:rPr>
          <w:rFonts w:hint="eastAsia" w:ascii="Times New Roman" w:hAnsi="Times New Roman" w:eastAsia="黑体"/>
          <w:sz w:val="32"/>
          <w:szCs w:val="32"/>
        </w:rPr>
        <w:t>第二节 仓库标准仓单交割</w:t>
      </w:r>
    </w:p>
    <w:p>
      <w:pPr>
        <w:pStyle w:val="6"/>
        <w:widowControl/>
        <w:spacing w:beforeAutospacing="0" w:afterAutospacing="0" w:line="560" w:lineRule="exact"/>
        <w:ind w:firstLine="640" w:firstLineChars="200"/>
        <w:jc w:val="both"/>
        <w:rPr>
          <w:rFonts w:ascii="Times New Roman" w:hAnsi="Times New Roman" w:eastAsia="黑体"/>
          <w:sz w:val="32"/>
          <w:szCs w:val="32"/>
        </w:rPr>
      </w:pPr>
      <w:r>
        <w:rPr>
          <w:rFonts w:hint="eastAsia" w:ascii="Times New Roman" w:hAnsi="Times New Roman" w:eastAsia="黑体"/>
          <w:sz w:val="32"/>
          <w:szCs w:val="32"/>
        </w:rPr>
        <w:t>第四十七条</w:t>
      </w:r>
      <w:r>
        <w:rPr>
          <w:rFonts w:hint="eastAsia" w:ascii="Times New Roman" w:hAnsi="Times New Roman" w:eastAsia="仿宋_GB2312"/>
          <w:sz w:val="32"/>
          <w:szCs w:val="32"/>
        </w:rPr>
        <w:t xml:space="preserve"> 会员办理交割预报时，应当按30元/吨向交易所交纳交割预报定金。</w:t>
      </w:r>
    </w:p>
    <w:p>
      <w:pPr>
        <w:pStyle w:val="6"/>
        <w:widowControl/>
        <w:spacing w:beforeAutospacing="0" w:afterAutospacing="0" w:line="560" w:lineRule="exact"/>
        <w:ind w:firstLine="640" w:firstLineChars="200"/>
        <w:jc w:val="both"/>
        <w:rPr>
          <w:rFonts w:ascii="Times New Roman" w:hAnsi="Times New Roman" w:eastAsia="黑体"/>
          <w:sz w:val="32"/>
          <w:szCs w:val="32"/>
        </w:rPr>
      </w:pPr>
      <w:r>
        <w:rPr>
          <w:rFonts w:hint="eastAsia" w:ascii="Times New Roman" w:hAnsi="Times New Roman" w:eastAsia="黑体"/>
          <w:sz w:val="32"/>
          <w:szCs w:val="32"/>
        </w:rPr>
        <w:t>第四十八条</w:t>
      </w:r>
      <w:r>
        <w:rPr>
          <w:rFonts w:ascii="Times New Roman" w:hAnsi="Times New Roman" w:eastAsia="仿宋_GB2312"/>
          <w:sz w:val="32"/>
          <w:szCs w:val="32"/>
        </w:rPr>
        <w:t xml:space="preserve"> </w:t>
      </w:r>
      <w:r>
        <w:rPr>
          <w:rFonts w:hint="eastAsia" w:ascii="Times New Roman" w:hAnsi="Times New Roman" w:eastAsia="仿宋_GB2312"/>
          <w:sz w:val="32"/>
          <w:szCs w:val="32"/>
        </w:rPr>
        <w:t>办理完交割预报的货主在入库前3个自然日之前，应当将车船号、品种、数量、到货时间等通知指定仓库（以下简称仓库），仓库应当合理安排接收商品入库。</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第四十九条</w:t>
      </w:r>
      <w:r>
        <w:rPr>
          <w:rFonts w:hint="eastAsia" w:ascii="Times New Roman" w:hAnsi="Times New Roman" w:eastAsia="仿宋_GB2312"/>
          <w:sz w:val="32"/>
          <w:szCs w:val="32"/>
        </w:rPr>
        <w:t xml:space="preserve"> 工业硅入库时，货主应当向仓库提交本批工业硅生产厂家出具的质量证明书。质量证明书应当注明产品名称、生产厂家、牌号、批号、重量和件数、生产（出厂）日期、适用的质量标准和该批产品的质量检验结果（铁、铝、钙）等信息。如该批产品的生产厂家已检明微量元素（磷、硼、碳、钛、镍）等信息，可在质量证明书中一并注明。</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仓库应当按照交易所有关规定对入库商品的质量证明书等相关材料和凭证进行验收。</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第五十条</w:t>
      </w:r>
      <w:r>
        <w:rPr>
          <w:rFonts w:hint="eastAsia" w:ascii="Times New Roman" w:hAnsi="Times New Roman" w:eastAsia="仿宋_GB2312"/>
          <w:sz w:val="32"/>
          <w:szCs w:val="32"/>
        </w:rPr>
        <w:t xml:space="preserve"> 工业硅入库时，包装物应干燥、结实耐用、适宜储存，仓库对入库商品进行重量验收，工业硅重量验收采用过地磅等方式进行。</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第五十一条</w:t>
      </w:r>
      <w:r>
        <w:rPr>
          <w:rFonts w:hint="eastAsia" w:ascii="Times New Roman" w:hAnsi="Times New Roman" w:eastAsia="仿宋_GB2312"/>
          <w:sz w:val="32"/>
          <w:szCs w:val="32"/>
        </w:rPr>
        <w:t xml:space="preserve"> 免检交割品牌的工业硅入库时，货主向交易所和仓库提交指定生产厂家出具的符合交易所要求的产品质量责任承诺书、产品质量证明书及交易所规定的其他材料的，可免于质量检验。工业硅免检品牌由交易所另行公告。</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第五十二条</w:t>
      </w:r>
      <w:r>
        <w:rPr>
          <w:rFonts w:hint="eastAsia" w:ascii="Times New Roman" w:hAnsi="Times New Roman" w:eastAsia="仿宋_GB2312"/>
          <w:sz w:val="32"/>
          <w:szCs w:val="32"/>
        </w:rPr>
        <w:t xml:space="preserve"> 仓库应当委托指定质量检验机构对入库商品进行质量检验。检验费用由货主承担，由仓库负责转交。</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第五十三条</w:t>
      </w:r>
      <w:r>
        <w:rPr>
          <w:rFonts w:hint="eastAsia" w:ascii="Times New Roman" w:hAnsi="Times New Roman" w:eastAsia="仿宋_GB2312"/>
          <w:sz w:val="32"/>
          <w:szCs w:val="32"/>
        </w:rPr>
        <w:t xml:space="preserve"> 入库工业硅的取样、制样、质检以及粒度检测由指定质量检验机构负责，按照《工业硅国标》和相关作业指导文件执行，仓库应予协助，相关仓库配合检验费用由货主承担。相关费用由交易所另行公告。</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第五十四条</w:t>
      </w:r>
      <w:r>
        <w:rPr>
          <w:rFonts w:ascii="Times New Roman" w:hAnsi="Times New Roman" w:eastAsia="仿宋_GB2312"/>
          <w:sz w:val="32"/>
          <w:szCs w:val="32"/>
        </w:rPr>
        <w:t xml:space="preserve"> </w:t>
      </w:r>
      <w:r>
        <w:rPr>
          <w:rFonts w:hint="eastAsia" w:ascii="Times New Roman" w:hAnsi="Times New Roman" w:eastAsia="仿宋_GB2312"/>
          <w:sz w:val="32"/>
          <w:szCs w:val="32"/>
        </w:rPr>
        <w:t>入库工业硅的质量检验应以同一厂家、同一牌号进行组批，每批</w:t>
      </w:r>
      <w:r>
        <w:rPr>
          <w:rFonts w:ascii="Times New Roman" w:hAnsi="Times New Roman" w:eastAsia="仿宋_GB2312"/>
          <w:sz w:val="32"/>
          <w:szCs w:val="32"/>
        </w:rPr>
        <w:t>60</w:t>
      </w:r>
      <w:r>
        <w:rPr>
          <w:rFonts w:hint="eastAsia" w:ascii="Times New Roman" w:hAnsi="Times New Roman" w:eastAsia="仿宋_GB2312"/>
          <w:sz w:val="32"/>
          <w:szCs w:val="32"/>
        </w:rPr>
        <w:t>吨，超过</w:t>
      </w:r>
      <w:r>
        <w:rPr>
          <w:rFonts w:ascii="Times New Roman" w:hAnsi="Times New Roman" w:eastAsia="仿宋_GB2312"/>
          <w:sz w:val="32"/>
          <w:szCs w:val="32"/>
        </w:rPr>
        <w:t>60</w:t>
      </w:r>
      <w:r>
        <w:rPr>
          <w:rFonts w:hint="eastAsia" w:ascii="Times New Roman" w:hAnsi="Times New Roman" w:eastAsia="仿宋_GB2312"/>
          <w:sz w:val="32"/>
          <w:szCs w:val="32"/>
        </w:rPr>
        <w:t>吨的应分若干批检验，不足60吨的按一批检验。</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第五十五条</w:t>
      </w:r>
      <w:r>
        <w:rPr>
          <w:rFonts w:hint="eastAsia" w:ascii="Times New Roman" w:hAnsi="Times New Roman" w:eastAsia="仿宋_GB2312"/>
          <w:sz w:val="32"/>
          <w:szCs w:val="32"/>
        </w:rPr>
        <w:t xml:space="preserve"> </w:t>
      </w:r>
      <w:r>
        <w:rPr>
          <w:rFonts w:ascii="Times New Roman" w:hAnsi="Times New Roman" w:eastAsia="仿宋_GB2312"/>
          <w:sz w:val="32"/>
          <w:szCs w:val="32"/>
        </w:rPr>
        <w:t>除免检入库的商品外，货主或者仓库对商品检验报告的检验结论有异议的，应当在接到商品检验报告之日起</w:t>
      </w:r>
      <w:r>
        <w:rPr>
          <w:rFonts w:hint="eastAsia" w:ascii="Times New Roman" w:hAnsi="Times New Roman" w:eastAsia="仿宋_GB2312"/>
          <w:sz w:val="32"/>
          <w:szCs w:val="32"/>
        </w:rPr>
        <w:t>3</w:t>
      </w:r>
      <w:r>
        <w:rPr>
          <w:rFonts w:ascii="Times New Roman" w:hAnsi="Times New Roman" w:eastAsia="仿宋_GB2312"/>
          <w:sz w:val="32"/>
          <w:szCs w:val="32"/>
        </w:rPr>
        <w:t>个工作日内以书面形式向交易所提出复检申请。复检申请应当说明仓库名称和需要复检的商品数量、质量指标、生产厂家及牌号</w:t>
      </w:r>
      <w:r>
        <w:rPr>
          <w:rFonts w:hint="eastAsia" w:ascii="Times New Roman" w:hAnsi="Times New Roman" w:eastAsia="仿宋_GB2312"/>
          <w:sz w:val="32"/>
          <w:szCs w:val="32"/>
        </w:rPr>
        <w:t>、批号</w:t>
      </w:r>
      <w:r>
        <w:rPr>
          <w:rFonts w:ascii="Times New Roman" w:hAnsi="Times New Roman" w:eastAsia="仿宋_GB2312"/>
          <w:sz w:val="32"/>
          <w:szCs w:val="32"/>
        </w:rPr>
        <w:t>和</w:t>
      </w:r>
      <w:r>
        <w:rPr>
          <w:rFonts w:hint="eastAsia" w:ascii="Times New Roman" w:hAnsi="Times New Roman" w:eastAsia="仿宋_GB2312"/>
          <w:sz w:val="32"/>
          <w:szCs w:val="32"/>
        </w:rPr>
        <w:t>货物</w:t>
      </w:r>
      <w:r>
        <w:rPr>
          <w:rFonts w:ascii="Times New Roman" w:hAnsi="Times New Roman" w:eastAsia="仿宋_GB2312"/>
          <w:sz w:val="32"/>
          <w:szCs w:val="32"/>
        </w:rPr>
        <w:t>所在垛位号等，留存联系方式，并加盖提出争议者公章。未在规定时间内以规定方式提出复检申请的，视为同意商品检验报告的检验结论。交易所委托指定质量检验机构进行复检，复检结果为解决争议的依据。复检费用由提出争议者负担</w:t>
      </w:r>
      <w:r>
        <w:rPr>
          <w:rFonts w:hint="eastAsia" w:ascii="Times New Roman" w:hAnsi="Times New Roman" w:eastAsia="仿宋_GB2312"/>
          <w:sz w:val="32"/>
          <w:szCs w:val="32"/>
        </w:rPr>
        <w:t>。</w:t>
      </w:r>
    </w:p>
    <w:p>
      <w:pPr>
        <w:pStyle w:val="6"/>
        <w:widowControl/>
        <w:spacing w:beforeAutospacing="0" w:afterAutospacing="0" w:line="560" w:lineRule="exact"/>
        <w:ind w:firstLine="640" w:firstLineChars="200"/>
        <w:jc w:val="both"/>
        <w:rPr>
          <w:rFonts w:ascii="Times New Roman" w:hAnsi="Times New Roman" w:eastAsia="黑体"/>
          <w:sz w:val="32"/>
          <w:szCs w:val="32"/>
        </w:rPr>
      </w:pPr>
      <w:r>
        <w:rPr>
          <w:rFonts w:hint="eastAsia" w:ascii="Times New Roman" w:hAnsi="Times New Roman" w:eastAsia="黑体"/>
          <w:sz w:val="32"/>
          <w:szCs w:val="32"/>
        </w:rPr>
        <w:t xml:space="preserve">第五十六条 </w:t>
      </w:r>
      <w:r>
        <w:rPr>
          <w:rFonts w:hint="eastAsia" w:ascii="Times New Roman" w:hAnsi="Times New Roman" w:eastAsia="仿宋_GB2312"/>
          <w:sz w:val="32"/>
          <w:szCs w:val="32"/>
        </w:rPr>
        <w:t>仓库应当在货物入库前3个自然日，将到货方式、到货数量、到货时间等相关信息通知指定质量检验机构。</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 xml:space="preserve">第五十七条 </w:t>
      </w:r>
      <w:r>
        <w:rPr>
          <w:rFonts w:hint="eastAsia" w:ascii="Times New Roman" w:hAnsi="Times New Roman" w:eastAsia="仿宋_GB2312"/>
          <w:sz w:val="32"/>
          <w:szCs w:val="32"/>
        </w:rPr>
        <w:t>指定质量检验机构完成工业硅质量检验后，应当出具检验报告正本一份，副本三份，并将正本提交仓库，向交易所和货主分别提交副本一份。</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 xml:space="preserve">第五十八条 </w:t>
      </w:r>
      <w:r>
        <w:rPr>
          <w:rFonts w:hint="eastAsia" w:ascii="Times New Roman" w:hAnsi="Times New Roman" w:eastAsia="仿宋_GB2312"/>
          <w:sz w:val="32"/>
          <w:szCs w:val="32"/>
        </w:rPr>
        <w:t>工业硅包装因取样损坏的，仓库应按相应国家标准重新灌包，所需包装物由货主提供，灌包费用由货主承担。</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第五十九条</w:t>
      </w:r>
      <w:r>
        <w:rPr>
          <w:rFonts w:ascii="Times New Roman" w:hAnsi="Times New Roman" w:eastAsia="仿宋_GB2312"/>
          <w:sz w:val="32"/>
          <w:szCs w:val="32"/>
        </w:rPr>
        <w:t xml:space="preserve"> </w:t>
      </w:r>
      <w:r>
        <w:rPr>
          <w:rFonts w:hint="eastAsia" w:ascii="Times New Roman" w:hAnsi="Times New Roman" w:eastAsia="仿宋_GB2312"/>
          <w:sz w:val="32"/>
          <w:szCs w:val="32"/>
        </w:rPr>
        <w:t>工业硅从仓库出库时，持有《提货通知单》或者提货密码的货主应当在实际提货日5个自然日前与仓库联系有关出库事宜，并在标准仓单注销日后10个工作日内（含当日）到仓库提货。</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第六十条</w:t>
      </w:r>
      <w:r>
        <w:rPr>
          <w:rFonts w:hint="eastAsia" w:ascii="Times New Roman" w:hAnsi="Times New Roman" w:eastAsia="仿宋_GB2312"/>
          <w:sz w:val="32"/>
          <w:szCs w:val="32"/>
        </w:rPr>
        <w:t xml:space="preserve"> 货主对仓库出库商品质量有异议的，首先与仓库协商解决。协商不成的，货主应当在标准仓单注销之日起10个工作日内（含当日）且货物已交付但未出库的情况下，以书面形式向交易所提出复检申请。复检申请应当说明仓库名称和需要复检的商品数量、质量指标、生产厂家及牌号和货物所在垛位号等，留存联系方式，并加盖货主公章。未在规定时间内以规定方式提出申请的，视为货主对出库商品质量无异议。交易所委托指定质量检验机构进行复检，复检结果为解决争议的依据。复检费用由货主先行垫付。</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对于非免检入库的商品，复检结果与交割质量标准相符的，由此产生的相关费用（检验费、差旅费和仓储费等）由货主负担；不相符的，由此产生的相关费用（检验费、差旅费和仓储费等）和损失由仓库负担。</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对于免检入库的商品，复检结果与交割质量标准相符的，由此产生的相关费用由货主负担；不相符的，该费用由生产厂家负担。复检结果与交割质量标准不相符，或虽相符但非标准仓单注册申请人承诺免检品牌的，除货主和生产厂家另有约定的以外，生产厂家应当在收到或应当收到复检结果之日起15个自然日内在原交割地点为货主换货，逾期未完成换货的，按照每日</w:t>
      </w:r>
      <w:r>
        <w:rPr>
          <w:rFonts w:ascii="Times New Roman" w:hAnsi="Times New Roman" w:eastAsia="仿宋_GB2312"/>
          <w:sz w:val="32"/>
          <w:szCs w:val="32"/>
        </w:rPr>
        <w:t>10</w:t>
      </w:r>
      <w:r>
        <w:rPr>
          <w:rFonts w:hint="eastAsia" w:ascii="Times New Roman" w:hAnsi="Times New Roman" w:eastAsia="仿宋_GB2312"/>
          <w:sz w:val="32"/>
          <w:szCs w:val="32"/>
        </w:rPr>
        <w:t>元/吨的标准向货主支付赔偿金，生产厂家在收到或应当收到复检结果之日起60个自然日内未完成换货的，应当向货主赔偿所有损失。生产厂家向货主先行承担上述责任后，有权向标准仓单注册申请人或其他责任人追偿。</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第六十一条</w:t>
      </w:r>
      <w:r>
        <w:rPr>
          <w:rFonts w:ascii="Times New Roman" w:hAnsi="Times New Roman" w:eastAsia="黑体"/>
          <w:sz w:val="32"/>
          <w:szCs w:val="32"/>
        </w:rPr>
        <w:t xml:space="preserve"> </w:t>
      </w:r>
      <w:r>
        <w:rPr>
          <w:rFonts w:hint="eastAsia" w:ascii="Times New Roman" w:hAnsi="Times New Roman" w:eastAsia="仿宋_GB2312"/>
          <w:sz w:val="32"/>
          <w:szCs w:val="32"/>
        </w:rPr>
        <w:t>工业硅出库过程中，发现包装损坏、不适宜再次装卸及运输的，仓库应当免费提供包装物、重新灌包，并及时将相关情况通知质检机构。</w:t>
      </w:r>
    </w:p>
    <w:p>
      <w:pPr>
        <w:pStyle w:val="6"/>
        <w:widowControl/>
        <w:spacing w:beforeAutospacing="0" w:afterAutospacing="0" w:line="560" w:lineRule="exact"/>
        <w:ind w:firstLine="640" w:firstLineChars="200"/>
        <w:jc w:val="both"/>
        <w:rPr>
          <w:rFonts w:ascii="Times New Roman" w:hAnsi="Times New Roman" w:eastAsia="黑体"/>
          <w:sz w:val="32"/>
          <w:szCs w:val="32"/>
        </w:rPr>
      </w:pPr>
      <w:r>
        <w:rPr>
          <w:rFonts w:hint="eastAsia" w:ascii="Times New Roman" w:hAnsi="Times New Roman" w:eastAsia="黑体"/>
          <w:sz w:val="32"/>
          <w:szCs w:val="32"/>
        </w:rPr>
        <w:t>第六十二条</w:t>
      </w:r>
      <w:r>
        <w:rPr>
          <w:rFonts w:hint="eastAsia" w:ascii="Times New Roman" w:hAnsi="Times New Roman" w:eastAsia="仿宋_GB2312"/>
          <w:sz w:val="32"/>
          <w:szCs w:val="32"/>
        </w:rPr>
        <w:t xml:space="preserve"> 工业硅出库完成后，仓库应与货主对相关事宜进行书面确认，并妥善保存相关材料。</w:t>
      </w:r>
    </w:p>
    <w:p>
      <w:pPr>
        <w:pStyle w:val="6"/>
        <w:widowControl/>
        <w:spacing w:beforeAutospacing="0" w:afterAutospacing="0" w:line="560" w:lineRule="exact"/>
        <w:jc w:val="center"/>
      </w:pPr>
      <w:r>
        <w:rPr>
          <w:rFonts w:hint="eastAsia" w:ascii="Times New Roman" w:hAnsi="Times New Roman" w:eastAsia="黑体"/>
          <w:sz w:val="32"/>
          <w:szCs w:val="32"/>
        </w:rPr>
        <w:t>第三节 厂库标准仓单交割</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第六十三条</w:t>
      </w:r>
      <w:r>
        <w:rPr>
          <w:rFonts w:ascii="Times New Roman" w:hAnsi="Times New Roman" w:eastAsia="黑体"/>
          <w:sz w:val="32"/>
          <w:szCs w:val="32"/>
        </w:rPr>
        <w:t xml:space="preserve"> </w:t>
      </w:r>
      <w:r>
        <w:rPr>
          <w:rFonts w:hint="eastAsia" w:ascii="Times New Roman" w:hAnsi="Times New Roman" w:eastAsia="仿宋_GB2312"/>
          <w:sz w:val="32"/>
          <w:szCs w:val="32"/>
        </w:rPr>
        <w:t>申请注册标准仓单的厂库应当向交易所提供交易所认可的银行履约担保函或者其它担保方式。</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第六十四条</w:t>
      </w:r>
      <w:r>
        <w:rPr>
          <w:rFonts w:ascii="Times New Roman" w:hAnsi="Times New Roman" w:eastAsia="黑体"/>
          <w:sz w:val="32"/>
          <w:szCs w:val="32"/>
        </w:rPr>
        <w:t xml:space="preserve"> </w:t>
      </w:r>
      <w:r>
        <w:rPr>
          <w:rFonts w:hint="eastAsia" w:ascii="Times New Roman" w:hAnsi="Times New Roman" w:eastAsia="仿宋_GB2312"/>
          <w:sz w:val="32"/>
          <w:szCs w:val="32"/>
        </w:rPr>
        <w:t>工业硅从厂库出库时，货主应当在标准仓单注销日后（不含注销日）的4个自然日内（含当日）到厂库提货。</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工业硅厂库应当在标准仓单注销日后（不含注销日）的</w:t>
      </w:r>
      <w:r>
        <w:rPr>
          <w:rFonts w:ascii="Times New Roman" w:hAnsi="Times New Roman" w:eastAsia="仿宋_GB2312"/>
          <w:sz w:val="32"/>
          <w:szCs w:val="32"/>
        </w:rPr>
        <w:t>4</w:t>
      </w:r>
      <w:r>
        <w:rPr>
          <w:rFonts w:hint="eastAsia" w:ascii="Times New Roman" w:hAnsi="Times New Roman" w:eastAsia="仿宋_GB2312"/>
          <w:sz w:val="32"/>
          <w:szCs w:val="32"/>
        </w:rPr>
        <w:t>个自然日内（含当日）开始发货。厂库应当按照合约要求的交割质量标准发货，并应当向货主出具符合交易所要求的品质凭证，作为结算质量升贴水的依据。</w:t>
      </w:r>
    </w:p>
    <w:p>
      <w:pPr>
        <w:pStyle w:val="6"/>
        <w:widowControl/>
        <w:spacing w:beforeAutospacing="0" w:afterAutospacing="0" w:line="560" w:lineRule="exact"/>
        <w:ind w:firstLine="640" w:firstLineChars="200"/>
        <w:jc w:val="both"/>
        <w:rPr>
          <w:rFonts w:ascii="黑体" w:hAnsi="黑体" w:eastAsia="黑体" w:cs="黑体"/>
          <w:sz w:val="32"/>
          <w:szCs w:val="32"/>
        </w:rPr>
      </w:pPr>
      <w:r>
        <w:rPr>
          <w:rFonts w:hint="eastAsia" w:ascii="Times New Roman" w:hAnsi="Times New Roman" w:eastAsia="仿宋_GB2312"/>
          <w:sz w:val="32"/>
          <w:szCs w:val="32"/>
        </w:rPr>
        <w:t>厂库应当在货主的监督下进行抽样、取样及粒度检测，具体操作按照《工业硅国标》和相关作业指导文件执行，粒度检测合格后，经双方确认将样品封存，</w:t>
      </w:r>
      <w:r>
        <w:rPr>
          <w:rFonts w:ascii="Times New Roman" w:hAnsi="Times New Roman" w:eastAsia="仿宋_GB2312"/>
          <w:sz w:val="32"/>
          <w:szCs w:val="32"/>
        </w:rPr>
        <w:t>并将样品保留至发货日后的30个自然日。</w:t>
      </w:r>
    </w:p>
    <w:p>
      <w:pPr>
        <w:pStyle w:val="6"/>
        <w:widowControl/>
        <w:spacing w:beforeAutospacing="0" w:afterAutospacing="0" w:line="560" w:lineRule="exact"/>
        <w:ind w:firstLine="640" w:firstLineChars="200"/>
        <w:jc w:val="both"/>
        <w:rPr>
          <w:rFonts w:ascii="Times New Roman" w:hAnsi="Times New Roman" w:eastAsia="黑体"/>
          <w:sz w:val="32"/>
          <w:szCs w:val="32"/>
        </w:rPr>
      </w:pPr>
      <w:r>
        <w:rPr>
          <w:rFonts w:hint="eastAsia" w:ascii="Times New Roman" w:hAnsi="Times New Roman" w:eastAsia="仿宋_GB2312"/>
          <w:sz w:val="32"/>
          <w:szCs w:val="32"/>
        </w:rPr>
        <w:t>货主对厂库出库商品质量（主要杂质元素，铁、铝、钙）有异议的，首先与厂库协商解决。协商不成的，货主应当在按照规定封存样品后（不含当日）的10个工作日内（含当日）以书面形式向交易所提出复检申请。未在规定时间内以规定方式提出申请的，视为货主对出库商品质量无异议。交易所委托指定质量检验机构对封存的样品进行检验，并以该样品检验结果作为解决争议的依据。检验费用由货主先行垫付。</w:t>
      </w:r>
    </w:p>
    <w:p>
      <w:pPr>
        <w:pStyle w:val="6"/>
        <w:widowControl/>
        <w:tabs>
          <w:tab w:val="left" w:pos="210"/>
        </w:tabs>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复检结果与交割质量标准相符的，由此产生的相关费用（检验费、差旅费和仓储费等）和损失由货主负担；否则，由此产生的相关费用（检验费、差旅费和仓储费等）和损失由厂库负担。</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第六十五条</w:t>
      </w:r>
      <w:r>
        <w:rPr>
          <w:rFonts w:ascii="Times New Roman" w:hAnsi="Times New Roman" w:eastAsia="仿宋_GB2312"/>
          <w:sz w:val="32"/>
          <w:szCs w:val="32"/>
        </w:rPr>
        <w:t xml:space="preserve"> 厂库以不高于日发货速度向货主发货时，货主因运输能力等原因无法按时提货，货主应当向厂库支付滞纳金。滞纳金按照如下方法确定：</w:t>
      </w:r>
    </w:p>
    <w:p>
      <w:pPr>
        <w:pStyle w:val="6"/>
        <w:widowControl/>
        <w:numPr>
          <w:ilvl w:val="0"/>
          <w:numId w:val="1"/>
        </w:numPr>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从开始提货之日（含当日）起，每日按照截至当日应提而未提的商品数量乘以相应的滞纳金标准计算出当日滞纳金金额；</w:t>
      </w:r>
    </w:p>
    <w:p>
      <w:pPr>
        <w:pStyle w:val="6"/>
        <w:widowControl/>
        <w:numPr>
          <w:ilvl w:val="0"/>
          <w:numId w:val="1"/>
        </w:numPr>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直至完成提货之日（不含当日），在加总每日滞纳金金额的基础上，计算出货主应当向厂库支付的滞纳金总额。</w:t>
      </w:r>
    </w:p>
    <w:p>
      <w:pPr>
        <w:pStyle w:val="6"/>
        <w:widowControl/>
        <w:numPr>
          <w:ilvl w:val="255"/>
          <w:numId w:val="0"/>
        </w:numPr>
        <w:spacing w:beforeAutospacing="0" w:afterAutospacing="0" w:line="560" w:lineRule="exact"/>
        <w:ind w:left="420" w:leftChars="200" w:firstLine="320" w:firstLineChars="100"/>
        <w:jc w:val="both"/>
        <w:rPr>
          <w:rFonts w:ascii="Times New Roman" w:hAnsi="Times New Roman" w:eastAsia="仿宋_GB2312"/>
          <w:sz w:val="32"/>
          <w:szCs w:val="32"/>
        </w:rPr>
      </w:pPr>
      <w:r>
        <w:rPr>
          <w:rFonts w:ascii="Times New Roman" w:hAnsi="Times New Roman" w:eastAsia="仿宋_GB2312"/>
          <w:sz w:val="32"/>
          <w:szCs w:val="32"/>
        </w:rPr>
        <w:t>滞纳金标准为</w:t>
      </w:r>
      <w:r>
        <w:rPr>
          <w:rFonts w:hint="eastAsia" w:ascii="Times New Roman" w:hAnsi="Times New Roman" w:eastAsia="仿宋_GB2312"/>
          <w:sz w:val="32"/>
          <w:szCs w:val="32"/>
        </w:rPr>
        <w:t>5</w:t>
      </w:r>
      <w:r>
        <w:rPr>
          <w:rFonts w:ascii="Times New Roman" w:hAnsi="Times New Roman" w:eastAsia="仿宋_GB2312"/>
          <w:sz w:val="32"/>
          <w:szCs w:val="32"/>
        </w:rPr>
        <w:t>元/吨</w:t>
      </w:r>
      <w:r>
        <w:rPr>
          <w:rFonts w:hint="eastAsia" w:ascii="微软雅黑" w:hAnsi="微软雅黑" w:eastAsia="微软雅黑" w:cs="微软雅黑"/>
          <w:sz w:val="32"/>
          <w:szCs w:val="32"/>
        </w:rPr>
        <w:t>•</w:t>
      </w:r>
      <w:r>
        <w:rPr>
          <w:rFonts w:ascii="Times New Roman" w:hAnsi="Times New Roman" w:eastAsia="仿宋_GB2312"/>
          <w:sz w:val="32"/>
          <w:szCs w:val="32"/>
        </w:rPr>
        <w:t>天</w:t>
      </w:r>
      <w:r>
        <w:rPr>
          <w:rFonts w:hint="eastAsia" w:ascii="Times New Roman" w:hAnsi="Times New Roman" w:eastAsia="仿宋_GB2312"/>
          <w:sz w:val="32"/>
          <w:szCs w:val="32"/>
        </w:rPr>
        <w:t>。</w:t>
      </w:r>
    </w:p>
    <w:p>
      <w:pPr>
        <w:widowControl/>
        <w:spacing w:line="560" w:lineRule="exact"/>
        <w:ind w:firstLine="640" w:firstLineChars="200"/>
        <w:rPr>
          <w:rFonts w:ascii="Times New Roman" w:hAnsi="Times New Roman" w:eastAsia="仿宋_GB2312"/>
          <w:sz w:val="32"/>
          <w:szCs w:val="32"/>
        </w:rPr>
      </w:pPr>
      <w:r>
        <w:rPr>
          <w:rFonts w:ascii="Times New Roman" w:hAnsi="Times New Roman" w:eastAsia="黑体"/>
          <w:sz w:val="32"/>
          <w:szCs w:val="32"/>
        </w:rPr>
        <w:t>第</w:t>
      </w:r>
      <w:r>
        <w:rPr>
          <w:rFonts w:hint="eastAsia" w:ascii="Times New Roman" w:hAnsi="Times New Roman" w:eastAsia="黑体"/>
          <w:sz w:val="32"/>
          <w:szCs w:val="32"/>
        </w:rPr>
        <w:t>六十六</w:t>
      </w:r>
      <w:r>
        <w:rPr>
          <w:rFonts w:ascii="Times New Roman" w:hAnsi="Times New Roman" w:eastAsia="黑体"/>
          <w:sz w:val="32"/>
          <w:szCs w:val="32"/>
        </w:rPr>
        <w:t>条</w:t>
      </w:r>
      <w:r>
        <w:rPr>
          <w:rFonts w:hint="eastAsia" w:ascii="Times New Roman" w:hAnsi="Times New Roman" w:eastAsia="黑体"/>
          <w:sz w:val="32"/>
          <w:szCs w:val="32"/>
        </w:rPr>
        <w:t xml:space="preserve"> </w:t>
      </w:r>
      <w:r>
        <w:rPr>
          <w:rFonts w:hint="eastAsia" w:ascii="Times New Roman" w:hAnsi="Times New Roman" w:eastAsia="仿宋_GB2312"/>
          <w:sz w:val="32"/>
          <w:szCs w:val="32"/>
        </w:rPr>
        <w:t>在提货期限届满之日后（不含当日）且在标准仓单注销日后（不含注销日）的19个自然日内（含当日）到厂库提货，货主应当向厂库支付滞纳金，厂库仍应按照期货标准承担</w:t>
      </w:r>
      <w:r>
        <w:rPr>
          <w:rFonts w:hint="eastAsia" w:ascii="Times New Roman" w:hAnsi="Times New Roman" w:eastAsia="仿宋_GB2312" w:cs="Times New Roman"/>
          <w:sz w:val="32"/>
          <w:szCs w:val="32"/>
        </w:rPr>
        <w:t>有关</w:t>
      </w:r>
      <w:r>
        <w:rPr>
          <w:rFonts w:hint="eastAsia" w:ascii="Times New Roman" w:hAnsi="Times New Roman" w:eastAsia="仿宋_GB2312"/>
          <w:sz w:val="32"/>
          <w:szCs w:val="32"/>
        </w:rPr>
        <w:t>的商品质量、发货时间和发货速度的责任，直至发完全部期货商品。滞纳金按照如下方法确定：</w:t>
      </w:r>
    </w:p>
    <w:p>
      <w:pPr>
        <w:pStyle w:val="6"/>
        <w:widowControl/>
        <w:spacing w:beforeAutospacing="0" w:afterAutospacing="0" w:line="560" w:lineRule="exact"/>
        <w:jc w:val="both"/>
        <w:rPr>
          <w:rFonts w:ascii="Times New Roman" w:hAnsi="Times New Roman" w:eastAsia="仿宋_GB2312"/>
          <w:sz w:val="32"/>
          <w:szCs w:val="32"/>
        </w:rPr>
      </w:pPr>
      <w:r>
        <w:rPr>
          <w:rFonts w:hint="eastAsia" w:ascii="Times New Roman" w:hAnsi="Times New Roman" w:eastAsia="仿宋_GB2312"/>
          <w:sz w:val="32"/>
          <w:szCs w:val="32"/>
        </w:rPr>
        <w:t>　　（一）从提货期限届满之日（含当日）起，每日按照截至当日应提而未提的商品数量乘以相应的滞纳金标准计算出当日滞纳金金额；</w:t>
      </w:r>
    </w:p>
    <w:p>
      <w:pPr>
        <w:pStyle w:val="6"/>
        <w:widowControl/>
        <w:numPr>
          <w:ilvl w:val="255"/>
          <w:numId w:val="0"/>
        </w:numPr>
        <w:spacing w:beforeAutospacing="0" w:afterAutospacing="0" w:line="560" w:lineRule="exact"/>
        <w:jc w:val="both"/>
        <w:rPr>
          <w:rFonts w:ascii="Times New Roman" w:hAnsi="Times New Roman" w:eastAsia="仿宋_GB2312"/>
          <w:sz w:val="32"/>
          <w:szCs w:val="32"/>
        </w:rPr>
      </w:pPr>
      <w:r>
        <w:rPr>
          <w:rFonts w:hint="eastAsia" w:ascii="Times New Roman" w:hAnsi="Times New Roman" w:eastAsia="仿宋_GB2312"/>
          <w:sz w:val="32"/>
          <w:szCs w:val="32"/>
        </w:rPr>
        <w:t>　　（二）直至完成提货之日（不含当日），在加总每日滞纳金金额的基础上，计算出货主应当向厂库支付的滞纳金总额。</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滞纳金标准为</w:t>
      </w:r>
      <w:r>
        <w:rPr>
          <w:rFonts w:ascii="Times New Roman" w:hAnsi="Times New Roman" w:eastAsia="仿宋_GB2312"/>
          <w:sz w:val="32"/>
          <w:szCs w:val="32"/>
        </w:rPr>
        <w:t>5</w:t>
      </w:r>
      <w:r>
        <w:rPr>
          <w:rFonts w:hint="eastAsia" w:ascii="Times New Roman" w:hAnsi="Times New Roman" w:eastAsia="仿宋_GB2312"/>
          <w:sz w:val="32"/>
          <w:szCs w:val="32"/>
        </w:rPr>
        <w:t>元/吨</w:t>
      </w:r>
      <w:r>
        <w:rPr>
          <w:rFonts w:hint="eastAsia" w:ascii="微软雅黑" w:hAnsi="微软雅黑" w:eastAsia="微软雅黑" w:cs="微软雅黑"/>
          <w:sz w:val="32"/>
          <w:szCs w:val="32"/>
        </w:rPr>
        <w:t>•</w:t>
      </w:r>
      <w:r>
        <w:rPr>
          <w:rFonts w:hint="eastAsia" w:ascii="Times New Roman" w:hAnsi="Times New Roman" w:eastAsia="仿宋_GB2312"/>
          <w:sz w:val="32"/>
          <w:szCs w:val="32"/>
        </w:rPr>
        <w:t>天。</w:t>
      </w:r>
    </w:p>
    <w:p>
      <w:pPr>
        <w:widowControl/>
        <w:spacing w:line="56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六十七</w:t>
      </w:r>
      <w:r>
        <w:rPr>
          <w:rFonts w:ascii="Times New Roman" w:hAnsi="Times New Roman" w:eastAsia="黑体" w:cs="Times New Roman"/>
          <w:sz w:val="32"/>
          <w:szCs w:val="32"/>
        </w:rPr>
        <w:t>条</w:t>
      </w:r>
      <w:r>
        <w:rPr>
          <w:rFonts w:hint="eastAsia" w:ascii="Times New Roman" w:hAnsi="Times New Roman" w:eastAsia="仿宋_GB2312" w:cs="Times New Roman"/>
          <w:sz w:val="32"/>
          <w:szCs w:val="32"/>
        </w:rPr>
        <w:t xml:space="preserve"> 货主在标准仓单注销日后（不含注销日）的19个自然日后（不含当日）到厂库提货，货主应当以下述公式的计算方法向厂库支付滞纳金，同时厂库将不再按照期货标准承担有关的商品质量、发货时间和发货速度的责任。</w:t>
      </w:r>
    </w:p>
    <w:p>
      <w:pPr>
        <w:widowControl/>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滞纳金金额=5元/吨•天×全部的商品数量×19天</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第六十八条</w:t>
      </w:r>
      <w:r>
        <w:rPr>
          <w:rFonts w:ascii="Times New Roman" w:hAnsi="Times New Roman" w:eastAsia="仿宋_GB2312"/>
          <w:sz w:val="32"/>
          <w:szCs w:val="32"/>
        </w:rPr>
        <w:t xml:space="preserve"> </w:t>
      </w:r>
      <w:r>
        <w:rPr>
          <w:rFonts w:hint="eastAsia" w:ascii="Times New Roman" w:hAnsi="Times New Roman" w:eastAsia="仿宋_GB2312"/>
          <w:sz w:val="32"/>
          <w:szCs w:val="32"/>
        </w:rPr>
        <w:t>厂库未按规定的日发货速度发货，但按时完成了所有商品的发货，厂库应当向货主支付赔偿金。赔偿金标准如下：</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赔偿金金额=该商品最近已交割月份交割结算价×按日出库速度应发而未发的商品数量×5%</w:t>
      </w:r>
    </w:p>
    <w:p>
      <w:pPr>
        <w:pStyle w:val="6"/>
        <w:widowControl/>
        <w:numPr>
          <w:ilvl w:val="255"/>
          <w:numId w:val="0"/>
        </w:numPr>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第六十九条</w:t>
      </w:r>
      <w:r>
        <w:rPr>
          <w:rFonts w:hint="eastAsia" w:ascii="Times New Roman" w:hAnsi="Times New Roman" w:eastAsia="仿宋_GB2312"/>
          <w:sz w:val="32"/>
          <w:szCs w:val="32"/>
        </w:rPr>
        <w:t xml:space="preserve"> 厂库未按时完成所有商品的发货，在按本细则六十八条规定进行赔偿的基础上，同时还应当向货主支付赔偿金。</w:t>
      </w:r>
    </w:p>
    <w:p>
      <w:pPr>
        <w:pStyle w:val="6"/>
        <w:widowControl/>
        <w:numPr>
          <w:ilvl w:val="255"/>
          <w:numId w:val="0"/>
        </w:numPr>
        <w:spacing w:beforeAutospacing="0" w:afterAutospacing="0" w:line="56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赔偿金金额</w:t>
      </w:r>
      <w:r>
        <w:rPr>
          <w:rFonts w:ascii="Times New Roman" w:hAnsi="Times New Roman" w:eastAsia="仿宋_GB2312"/>
          <w:sz w:val="32"/>
          <w:szCs w:val="32"/>
        </w:rPr>
        <w:t>=该商品最近已交割月份交割结算价×按商品总量应发而未发的商品数量×5%</w:t>
      </w:r>
    </w:p>
    <w:p>
      <w:pPr>
        <w:pStyle w:val="6"/>
        <w:widowControl/>
        <w:numPr>
          <w:ilvl w:val="255"/>
          <w:numId w:val="0"/>
        </w:numPr>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对于剩余未发商品，交易所按照以下程序进行处理：</w:t>
      </w:r>
    </w:p>
    <w:p>
      <w:pPr>
        <w:pStyle w:val="6"/>
        <w:widowControl/>
        <w:numPr>
          <w:ilvl w:val="255"/>
          <w:numId w:val="0"/>
        </w:numPr>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（一）交易所向货主提供其它厂库或其它地点的相同质量和数量的现货商品，并承担调整交货地点和延期发货产生的全部费用。</w:t>
      </w:r>
    </w:p>
    <w:p>
      <w:pPr>
        <w:pStyle w:val="6"/>
        <w:widowControl/>
        <w:numPr>
          <w:ilvl w:val="255"/>
          <w:numId w:val="0"/>
        </w:numPr>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（二）交易所无法提供上述商品时，向货主返还货款并支付赔偿金。</w:t>
      </w:r>
    </w:p>
    <w:p>
      <w:pPr>
        <w:pStyle w:val="6"/>
        <w:widowControl/>
        <w:numPr>
          <w:ilvl w:val="255"/>
          <w:numId w:val="0"/>
        </w:numPr>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返还货款和赔偿金的金额</w:t>
      </w:r>
      <w:r>
        <w:rPr>
          <w:rFonts w:ascii="Times New Roman" w:hAnsi="Times New Roman" w:eastAsia="仿宋_GB2312"/>
          <w:sz w:val="32"/>
          <w:szCs w:val="32"/>
        </w:rPr>
        <w:t>=该商品最近已交割月份交割结算价×按商品总量应发而未发的商品数量×120%</w:t>
      </w:r>
    </w:p>
    <w:p>
      <w:pPr>
        <w:pStyle w:val="6"/>
        <w:widowControl/>
        <w:numPr>
          <w:ilvl w:val="255"/>
          <w:numId w:val="0"/>
        </w:numPr>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第七十条</w:t>
      </w:r>
      <w:r>
        <w:rPr>
          <w:rFonts w:hint="eastAsia" w:ascii="Times New Roman" w:hAnsi="Times New Roman" w:eastAsia="仿宋_GB2312"/>
          <w:sz w:val="32"/>
          <w:szCs w:val="32"/>
        </w:rPr>
        <w:t xml:space="preserve"> 当厂库发生本细则第六十八条、第六十九条中的违约行为时，首先由厂库向货主支付赔偿金、返还货款和追加赔偿金。厂库未支付的或者支付数额不足的，按照《广州期货交易所风险准备金管理办法》《广州期货交易所标准仓单管理办法》有关规定处理。</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第七十一条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当货主发生本细则第六十五条至第六十七条中的违约行为时，首先由货主向厂库支付滞纳金。货主未支付或支付数额不足的，厂库可通过包括法律手段在内的其他手段向货主追索。</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第七十二条</w:t>
      </w:r>
      <w:r>
        <w:rPr>
          <w:rFonts w:ascii="Times New Roman" w:hAnsi="Times New Roman" w:eastAsia="仿宋_GB2312"/>
          <w:sz w:val="32"/>
          <w:szCs w:val="32"/>
        </w:rPr>
        <w:t xml:space="preserve"> </w:t>
      </w:r>
      <w:r>
        <w:rPr>
          <w:rFonts w:hint="eastAsia" w:ascii="Times New Roman" w:hAnsi="Times New Roman" w:eastAsia="仿宋_GB2312"/>
          <w:sz w:val="32"/>
          <w:szCs w:val="32"/>
        </w:rPr>
        <w:t>当发生本细则第六十五条至六十九条所述情况而给厂库或者货主一方造成损失，如双方约定另行协商处理，则按双方协商而定。书面协议报交易所备案。</w:t>
      </w:r>
    </w:p>
    <w:p>
      <w:pPr>
        <w:pStyle w:val="6"/>
        <w:widowControl/>
        <w:spacing w:beforeAutospacing="0" w:afterAutospacing="0" w:line="560" w:lineRule="exact"/>
        <w:ind w:firstLine="640" w:firstLineChars="200"/>
        <w:jc w:val="both"/>
        <w:rPr>
          <w:rStyle w:val="12"/>
          <w:rFonts w:cstheme="minorBidi"/>
          <w:kern w:val="2"/>
        </w:rPr>
      </w:pPr>
      <w:r>
        <w:rPr>
          <w:rFonts w:hint="eastAsia" w:ascii="Times New Roman" w:hAnsi="Times New Roman" w:eastAsia="黑体"/>
          <w:sz w:val="32"/>
          <w:szCs w:val="32"/>
        </w:rPr>
        <w:t>第七十三条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因不可抗力导致无法发货或提货时，厂库或货主无需支付滞纳金或赔偿金。</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仿宋_GB2312"/>
          <w:sz w:val="32"/>
          <w:szCs w:val="32"/>
        </w:rPr>
        <w:t>本条所称不可抗力包括恶劣天气、洪水、地震或泥石流等自然灾害、法规政策变化等不能预见、不能避免且不能克服的客观情况。</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第七十四条</w:t>
      </w:r>
      <w:r>
        <w:rPr>
          <w:rFonts w:hint="eastAsia" w:ascii="Times New Roman" w:hAnsi="Times New Roman" w:eastAsia="仿宋_GB2312"/>
          <w:sz w:val="32"/>
          <w:szCs w:val="32"/>
        </w:rPr>
        <w:t xml:space="preserve"> 工业硅出库完成后，厂库应与提货人对相关事宜进行书面确认，厂库妥善保存相关材料。</w:t>
      </w:r>
    </w:p>
    <w:p>
      <w:pPr>
        <w:pStyle w:val="6"/>
        <w:widowControl/>
        <w:spacing w:beforeAutospacing="0" w:afterAutospacing="0" w:line="560" w:lineRule="exact"/>
        <w:jc w:val="both"/>
        <w:rPr>
          <w:rFonts w:ascii="Times New Roman" w:hAnsi="Times New Roman" w:eastAsia="仿宋_GB2312"/>
          <w:sz w:val="32"/>
          <w:szCs w:val="32"/>
        </w:rPr>
      </w:pPr>
    </w:p>
    <w:p>
      <w:pPr>
        <w:pStyle w:val="6"/>
        <w:widowControl/>
        <w:numPr>
          <w:ilvl w:val="0"/>
          <w:numId w:val="2"/>
        </w:numPr>
        <w:spacing w:beforeAutospacing="0" w:afterAutospacing="0" w:line="560" w:lineRule="exact"/>
        <w:jc w:val="center"/>
        <w:rPr>
          <w:rFonts w:ascii="Times New Roman" w:hAnsi="Times New Roman" w:eastAsia="黑体"/>
          <w:sz w:val="32"/>
          <w:szCs w:val="32"/>
        </w:rPr>
      </w:pPr>
      <w:r>
        <w:rPr>
          <w:rFonts w:hint="eastAsia" w:ascii="Times New Roman" w:hAnsi="Times New Roman" w:eastAsia="黑体"/>
          <w:sz w:val="32"/>
          <w:szCs w:val="32"/>
        </w:rPr>
        <w:t>附则</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第七十五条</w:t>
      </w:r>
      <w:r>
        <w:rPr>
          <w:rFonts w:hint="eastAsia" w:ascii="Times New Roman" w:hAnsi="Times New Roman" w:eastAsia="仿宋_GB2312"/>
          <w:sz w:val="32"/>
          <w:szCs w:val="32"/>
        </w:rPr>
        <w:t xml:space="preserve"> 违反本细则规定的，交易所按照《广州期货交易所违规违约处理办法》和其他业务规则的有关规定处理。</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第七十六条</w:t>
      </w:r>
      <w:r>
        <w:rPr>
          <w:rFonts w:hint="eastAsia" w:ascii="Times New Roman" w:hAnsi="Times New Roman" w:eastAsia="仿宋_GB2312"/>
          <w:sz w:val="32"/>
          <w:szCs w:val="32"/>
        </w:rPr>
        <w:t xml:space="preserve"> 本细则解释权属于广州期货交易所。</w:t>
      </w:r>
    </w:p>
    <w:p>
      <w:pPr>
        <w:pStyle w:val="6"/>
        <w:widowControl/>
        <w:spacing w:beforeAutospacing="0" w:afterAutospacing="0" w:line="560" w:lineRule="exact"/>
        <w:ind w:firstLine="640" w:firstLineChars="200"/>
        <w:jc w:val="both"/>
        <w:rPr>
          <w:rFonts w:ascii="Times New Roman" w:hAnsi="Times New Roman" w:eastAsia="仿宋_GB2312"/>
          <w:sz w:val="32"/>
          <w:szCs w:val="32"/>
        </w:rPr>
      </w:pPr>
      <w:r>
        <w:rPr>
          <w:rFonts w:hint="eastAsia" w:ascii="Times New Roman" w:hAnsi="Times New Roman" w:eastAsia="黑体"/>
          <w:sz w:val="32"/>
          <w:szCs w:val="32"/>
        </w:rPr>
        <w:t>第七十七条</w:t>
      </w:r>
      <w:r>
        <w:rPr>
          <w:rFonts w:hint="eastAsia" w:ascii="Times New Roman" w:hAnsi="Times New Roman" w:eastAsia="仿宋_GB2312"/>
          <w:sz w:val="32"/>
          <w:szCs w:val="32"/>
        </w:rPr>
        <w:t xml:space="preserve"> 本细则自20</w:t>
      </w:r>
      <w:r>
        <w:rPr>
          <w:rFonts w:ascii="Times New Roman" w:hAnsi="Times New Roman" w:eastAsia="仿宋_GB2312"/>
          <w:sz w:val="32"/>
          <w:szCs w:val="32"/>
        </w:rPr>
        <w:t>22</w:t>
      </w:r>
      <w:r>
        <w:rPr>
          <w:rFonts w:hint="eastAsia" w:ascii="Times New Roman" w:hAnsi="Times New Roman" w:eastAsia="仿宋_GB2312"/>
          <w:sz w:val="32"/>
          <w:szCs w:val="32"/>
        </w:rPr>
        <w:t>年</w:t>
      </w:r>
      <w:r>
        <w:rPr>
          <w:rFonts w:ascii="Times New Roman" w:hAnsi="Times New Roman" w:eastAsia="仿宋_GB2312"/>
          <w:sz w:val="32"/>
          <w:szCs w:val="32"/>
        </w:rPr>
        <w:t>X</w:t>
      </w:r>
      <w:r>
        <w:rPr>
          <w:rFonts w:hint="eastAsia" w:ascii="Times New Roman" w:hAnsi="Times New Roman" w:eastAsia="仿宋_GB2312"/>
          <w:sz w:val="32"/>
          <w:szCs w:val="32"/>
        </w:rPr>
        <w:t>月</w:t>
      </w:r>
      <w:r>
        <w:rPr>
          <w:rFonts w:ascii="Times New Roman" w:hAnsi="Times New Roman" w:eastAsia="仿宋_GB2312"/>
          <w:sz w:val="32"/>
          <w:szCs w:val="32"/>
        </w:rPr>
        <w:t>X</w:t>
      </w:r>
      <w:r>
        <w:rPr>
          <w:rFonts w:hint="eastAsia" w:ascii="Times New Roman" w:hAnsi="Times New Roman" w:eastAsia="仿宋_GB2312"/>
          <w:sz w:val="32"/>
          <w:szCs w:val="32"/>
        </w:rPr>
        <w:t>日起实施。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4A9BEB"/>
    <w:multiLevelType w:val="singleLevel"/>
    <w:tmpl w:val="E84A9BEB"/>
    <w:lvl w:ilvl="0" w:tentative="0">
      <w:start w:val="1"/>
      <w:numFmt w:val="chineseCounting"/>
      <w:suff w:val="nothing"/>
      <w:lvlText w:val="（%1）"/>
      <w:lvlJc w:val="left"/>
      <w:rPr>
        <w:rFonts w:hint="eastAsia"/>
      </w:rPr>
    </w:lvl>
  </w:abstractNum>
  <w:abstractNum w:abstractNumId="1">
    <w:nsid w:val="6FF92401"/>
    <w:multiLevelType w:val="singleLevel"/>
    <w:tmpl w:val="6FF92401"/>
    <w:lvl w:ilvl="0" w:tentative="0">
      <w:start w:val="4"/>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NkOGUwYWQ0N2NlYjY1YzE0MGI0YzIwMDE0Zjc1OWEifQ=="/>
  </w:docVars>
  <w:rsids>
    <w:rsidRoot w:val="0038420F"/>
    <w:rsid w:val="0002470D"/>
    <w:rsid w:val="00041792"/>
    <w:rsid w:val="000A1175"/>
    <w:rsid w:val="000B30A5"/>
    <w:rsid w:val="000D0A67"/>
    <w:rsid w:val="00131200"/>
    <w:rsid w:val="00136592"/>
    <w:rsid w:val="00170F8C"/>
    <w:rsid w:val="001A45E2"/>
    <w:rsid w:val="001B7F44"/>
    <w:rsid w:val="00233445"/>
    <w:rsid w:val="002B1FDE"/>
    <w:rsid w:val="002C6D2F"/>
    <w:rsid w:val="002F3EB2"/>
    <w:rsid w:val="00310977"/>
    <w:rsid w:val="0038420F"/>
    <w:rsid w:val="003A4030"/>
    <w:rsid w:val="00423C5E"/>
    <w:rsid w:val="00443541"/>
    <w:rsid w:val="00472CF5"/>
    <w:rsid w:val="00480C81"/>
    <w:rsid w:val="004E616D"/>
    <w:rsid w:val="00521FA0"/>
    <w:rsid w:val="005D7AAF"/>
    <w:rsid w:val="005E0A8E"/>
    <w:rsid w:val="005F7FDC"/>
    <w:rsid w:val="00661709"/>
    <w:rsid w:val="006E7031"/>
    <w:rsid w:val="006F1FAB"/>
    <w:rsid w:val="006F4350"/>
    <w:rsid w:val="00702588"/>
    <w:rsid w:val="00705CCB"/>
    <w:rsid w:val="007237B6"/>
    <w:rsid w:val="0078143C"/>
    <w:rsid w:val="007916D8"/>
    <w:rsid w:val="007A678A"/>
    <w:rsid w:val="007B048B"/>
    <w:rsid w:val="007D0FCD"/>
    <w:rsid w:val="007F0F10"/>
    <w:rsid w:val="0087630E"/>
    <w:rsid w:val="0090003B"/>
    <w:rsid w:val="00927BA9"/>
    <w:rsid w:val="00957D90"/>
    <w:rsid w:val="00A45C8C"/>
    <w:rsid w:val="00AB17A5"/>
    <w:rsid w:val="00AD3B1A"/>
    <w:rsid w:val="00AF385B"/>
    <w:rsid w:val="00B3335F"/>
    <w:rsid w:val="00B54897"/>
    <w:rsid w:val="00BD2D2B"/>
    <w:rsid w:val="00C143F8"/>
    <w:rsid w:val="00C52030"/>
    <w:rsid w:val="00CB7FCA"/>
    <w:rsid w:val="00D7489D"/>
    <w:rsid w:val="00D954BE"/>
    <w:rsid w:val="00DF14BB"/>
    <w:rsid w:val="00E019D6"/>
    <w:rsid w:val="00E66571"/>
    <w:rsid w:val="00E865C2"/>
    <w:rsid w:val="00E86B7A"/>
    <w:rsid w:val="00EB69E2"/>
    <w:rsid w:val="00FF3E41"/>
    <w:rsid w:val="0110084D"/>
    <w:rsid w:val="01395070"/>
    <w:rsid w:val="019E3125"/>
    <w:rsid w:val="01BF5008"/>
    <w:rsid w:val="01CA3F1A"/>
    <w:rsid w:val="01F25116"/>
    <w:rsid w:val="01F81425"/>
    <w:rsid w:val="020E45F5"/>
    <w:rsid w:val="0217633B"/>
    <w:rsid w:val="023F0464"/>
    <w:rsid w:val="025A704C"/>
    <w:rsid w:val="026954E1"/>
    <w:rsid w:val="027520D7"/>
    <w:rsid w:val="028D7421"/>
    <w:rsid w:val="02AB2095"/>
    <w:rsid w:val="02B250DA"/>
    <w:rsid w:val="02C53886"/>
    <w:rsid w:val="02E903CF"/>
    <w:rsid w:val="02FA7D70"/>
    <w:rsid w:val="03280EF8"/>
    <w:rsid w:val="035E4919"/>
    <w:rsid w:val="036906A8"/>
    <w:rsid w:val="037E4FBC"/>
    <w:rsid w:val="038F0F77"/>
    <w:rsid w:val="03FE7EAB"/>
    <w:rsid w:val="04455AD9"/>
    <w:rsid w:val="04600793"/>
    <w:rsid w:val="04700330"/>
    <w:rsid w:val="04700DA8"/>
    <w:rsid w:val="0474792E"/>
    <w:rsid w:val="04AE367F"/>
    <w:rsid w:val="04F33787"/>
    <w:rsid w:val="051A6F66"/>
    <w:rsid w:val="051F457C"/>
    <w:rsid w:val="05544226"/>
    <w:rsid w:val="055446CC"/>
    <w:rsid w:val="055F2BCB"/>
    <w:rsid w:val="05D62E8D"/>
    <w:rsid w:val="05EA4BBF"/>
    <w:rsid w:val="06071270"/>
    <w:rsid w:val="063A14C7"/>
    <w:rsid w:val="063B53E6"/>
    <w:rsid w:val="064E5119"/>
    <w:rsid w:val="06AE6B0C"/>
    <w:rsid w:val="06CE7EA2"/>
    <w:rsid w:val="06EB58FD"/>
    <w:rsid w:val="072C76B6"/>
    <w:rsid w:val="074F1149"/>
    <w:rsid w:val="07C70CB0"/>
    <w:rsid w:val="07E55609"/>
    <w:rsid w:val="07E86EA8"/>
    <w:rsid w:val="07EA2C20"/>
    <w:rsid w:val="07F97307"/>
    <w:rsid w:val="08033CE1"/>
    <w:rsid w:val="08451B17"/>
    <w:rsid w:val="08871416"/>
    <w:rsid w:val="08A41020"/>
    <w:rsid w:val="08DD6D78"/>
    <w:rsid w:val="08E753B1"/>
    <w:rsid w:val="08EE4992"/>
    <w:rsid w:val="08F5187C"/>
    <w:rsid w:val="091361A6"/>
    <w:rsid w:val="091B4E7D"/>
    <w:rsid w:val="091D0DD3"/>
    <w:rsid w:val="095C586C"/>
    <w:rsid w:val="09BA5C05"/>
    <w:rsid w:val="0A195A3E"/>
    <w:rsid w:val="0A1D2B70"/>
    <w:rsid w:val="0A9652E1"/>
    <w:rsid w:val="0AFA761E"/>
    <w:rsid w:val="0B1B1342"/>
    <w:rsid w:val="0B3705F5"/>
    <w:rsid w:val="0B4B60CB"/>
    <w:rsid w:val="0B50723E"/>
    <w:rsid w:val="0B666A61"/>
    <w:rsid w:val="0B9510F4"/>
    <w:rsid w:val="0BC7566E"/>
    <w:rsid w:val="0C345014"/>
    <w:rsid w:val="0C6531BD"/>
    <w:rsid w:val="0C676F35"/>
    <w:rsid w:val="0CB02F15"/>
    <w:rsid w:val="0D041653"/>
    <w:rsid w:val="0D1F5EAB"/>
    <w:rsid w:val="0D4C612B"/>
    <w:rsid w:val="0D662D48"/>
    <w:rsid w:val="0D8536BD"/>
    <w:rsid w:val="0D9553DC"/>
    <w:rsid w:val="0D9F26FE"/>
    <w:rsid w:val="0DEA1BCB"/>
    <w:rsid w:val="0DF04C52"/>
    <w:rsid w:val="0DF91E0E"/>
    <w:rsid w:val="0E0A35FC"/>
    <w:rsid w:val="0E3E5A73"/>
    <w:rsid w:val="0E4137B5"/>
    <w:rsid w:val="0E6E353D"/>
    <w:rsid w:val="0E8B3D8C"/>
    <w:rsid w:val="0E9953A0"/>
    <w:rsid w:val="0EA24254"/>
    <w:rsid w:val="0F136F00"/>
    <w:rsid w:val="0F7F4595"/>
    <w:rsid w:val="0F847DFE"/>
    <w:rsid w:val="0F966051"/>
    <w:rsid w:val="0F9F1332"/>
    <w:rsid w:val="0FA7480A"/>
    <w:rsid w:val="0FBA410C"/>
    <w:rsid w:val="0FBA585B"/>
    <w:rsid w:val="0FBC30F4"/>
    <w:rsid w:val="0FBF4992"/>
    <w:rsid w:val="0FD42FA9"/>
    <w:rsid w:val="0FDD0E57"/>
    <w:rsid w:val="10060813"/>
    <w:rsid w:val="101910F7"/>
    <w:rsid w:val="102560D2"/>
    <w:rsid w:val="10804FF9"/>
    <w:rsid w:val="108F25B6"/>
    <w:rsid w:val="10AD5CE1"/>
    <w:rsid w:val="10EB210F"/>
    <w:rsid w:val="10F73937"/>
    <w:rsid w:val="11335518"/>
    <w:rsid w:val="113969C6"/>
    <w:rsid w:val="113C1864"/>
    <w:rsid w:val="11965BC6"/>
    <w:rsid w:val="11EB5F12"/>
    <w:rsid w:val="1202500A"/>
    <w:rsid w:val="121C431D"/>
    <w:rsid w:val="121D1E44"/>
    <w:rsid w:val="127D6AA7"/>
    <w:rsid w:val="12826F70"/>
    <w:rsid w:val="12B74046"/>
    <w:rsid w:val="12E4700C"/>
    <w:rsid w:val="13117BFA"/>
    <w:rsid w:val="133438E9"/>
    <w:rsid w:val="133D454B"/>
    <w:rsid w:val="1347361C"/>
    <w:rsid w:val="135D699C"/>
    <w:rsid w:val="13CD2AF5"/>
    <w:rsid w:val="14037464"/>
    <w:rsid w:val="141818FD"/>
    <w:rsid w:val="14385A7E"/>
    <w:rsid w:val="147C2B04"/>
    <w:rsid w:val="14975EDD"/>
    <w:rsid w:val="149A6B6C"/>
    <w:rsid w:val="14C36CD2"/>
    <w:rsid w:val="14DC5FE6"/>
    <w:rsid w:val="14E37374"/>
    <w:rsid w:val="14EA3EDE"/>
    <w:rsid w:val="15113EE2"/>
    <w:rsid w:val="15233969"/>
    <w:rsid w:val="152754B3"/>
    <w:rsid w:val="15282FD9"/>
    <w:rsid w:val="15311E8E"/>
    <w:rsid w:val="154F0566"/>
    <w:rsid w:val="15746128"/>
    <w:rsid w:val="15AE7982"/>
    <w:rsid w:val="15B912F9"/>
    <w:rsid w:val="15BD5E17"/>
    <w:rsid w:val="15D54F0F"/>
    <w:rsid w:val="160C46A9"/>
    <w:rsid w:val="162E461F"/>
    <w:rsid w:val="163559AE"/>
    <w:rsid w:val="16367720"/>
    <w:rsid w:val="163A7468"/>
    <w:rsid w:val="163E130D"/>
    <w:rsid w:val="164C2CF7"/>
    <w:rsid w:val="164D0F49"/>
    <w:rsid w:val="165C118C"/>
    <w:rsid w:val="16B07747"/>
    <w:rsid w:val="16FC64CC"/>
    <w:rsid w:val="173043C7"/>
    <w:rsid w:val="174D31CB"/>
    <w:rsid w:val="1752433D"/>
    <w:rsid w:val="1753326C"/>
    <w:rsid w:val="17546308"/>
    <w:rsid w:val="17987811"/>
    <w:rsid w:val="179B3F36"/>
    <w:rsid w:val="17A32DEB"/>
    <w:rsid w:val="17BC42C8"/>
    <w:rsid w:val="17CA0378"/>
    <w:rsid w:val="17D37089"/>
    <w:rsid w:val="18414ADE"/>
    <w:rsid w:val="188744BB"/>
    <w:rsid w:val="18954E2A"/>
    <w:rsid w:val="18B851FD"/>
    <w:rsid w:val="18EB4A4A"/>
    <w:rsid w:val="18F71640"/>
    <w:rsid w:val="19324427"/>
    <w:rsid w:val="19342227"/>
    <w:rsid w:val="19434886"/>
    <w:rsid w:val="19616ABA"/>
    <w:rsid w:val="19653F51"/>
    <w:rsid w:val="197C6DDB"/>
    <w:rsid w:val="198C16D7"/>
    <w:rsid w:val="199A6D3F"/>
    <w:rsid w:val="19C31523"/>
    <w:rsid w:val="19D96F98"/>
    <w:rsid w:val="19F811CC"/>
    <w:rsid w:val="1A0C059A"/>
    <w:rsid w:val="1A2A76E4"/>
    <w:rsid w:val="1A3805AB"/>
    <w:rsid w:val="1A5E7B3A"/>
    <w:rsid w:val="1A6C1067"/>
    <w:rsid w:val="1A8202FD"/>
    <w:rsid w:val="1AA267C4"/>
    <w:rsid w:val="1AE56958"/>
    <w:rsid w:val="1B1069E9"/>
    <w:rsid w:val="1B3E3557"/>
    <w:rsid w:val="1B570174"/>
    <w:rsid w:val="1B610FF3"/>
    <w:rsid w:val="1B662AAD"/>
    <w:rsid w:val="1B746F78"/>
    <w:rsid w:val="1B810534"/>
    <w:rsid w:val="1BA33762"/>
    <w:rsid w:val="1BA50EE0"/>
    <w:rsid w:val="1BE55780"/>
    <w:rsid w:val="1C60574F"/>
    <w:rsid w:val="1C6D7A64"/>
    <w:rsid w:val="1CB515F6"/>
    <w:rsid w:val="1CB810E7"/>
    <w:rsid w:val="1CD12E68"/>
    <w:rsid w:val="1CF30371"/>
    <w:rsid w:val="1CFF6D16"/>
    <w:rsid w:val="1D0205B4"/>
    <w:rsid w:val="1D025C7B"/>
    <w:rsid w:val="1D2D73DF"/>
    <w:rsid w:val="1D614705"/>
    <w:rsid w:val="1D9004D7"/>
    <w:rsid w:val="1DBD418C"/>
    <w:rsid w:val="1E004AF3"/>
    <w:rsid w:val="1E075E82"/>
    <w:rsid w:val="1E0B5246"/>
    <w:rsid w:val="1E220F0E"/>
    <w:rsid w:val="1E731769"/>
    <w:rsid w:val="1E9E60BA"/>
    <w:rsid w:val="1EA27958"/>
    <w:rsid w:val="1EDA17E8"/>
    <w:rsid w:val="1EF40FBC"/>
    <w:rsid w:val="1F136AA8"/>
    <w:rsid w:val="1F1D3483"/>
    <w:rsid w:val="1FA92F69"/>
    <w:rsid w:val="1FC440CD"/>
    <w:rsid w:val="1FCF6E73"/>
    <w:rsid w:val="1FDA1374"/>
    <w:rsid w:val="20140D2A"/>
    <w:rsid w:val="20176124"/>
    <w:rsid w:val="206D3F96"/>
    <w:rsid w:val="207D067D"/>
    <w:rsid w:val="20802604"/>
    <w:rsid w:val="209D2ACD"/>
    <w:rsid w:val="209D487B"/>
    <w:rsid w:val="20A7394C"/>
    <w:rsid w:val="20B07EAD"/>
    <w:rsid w:val="20FA3A7C"/>
    <w:rsid w:val="20FB77F4"/>
    <w:rsid w:val="21486EDD"/>
    <w:rsid w:val="21E85FCA"/>
    <w:rsid w:val="221B014E"/>
    <w:rsid w:val="22511DC1"/>
    <w:rsid w:val="22910410"/>
    <w:rsid w:val="229F3354"/>
    <w:rsid w:val="22AA7723"/>
    <w:rsid w:val="22C2681B"/>
    <w:rsid w:val="22CC1448"/>
    <w:rsid w:val="230A0903"/>
    <w:rsid w:val="231219E4"/>
    <w:rsid w:val="2338088B"/>
    <w:rsid w:val="23524303"/>
    <w:rsid w:val="23BB00A6"/>
    <w:rsid w:val="23E05465"/>
    <w:rsid w:val="23E80503"/>
    <w:rsid w:val="23EF1892"/>
    <w:rsid w:val="24082954"/>
    <w:rsid w:val="243A0231"/>
    <w:rsid w:val="243A2757"/>
    <w:rsid w:val="24493DE3"/>
    <w:rsid w:val="24AF2DCF"/>
    <w:rsid w:val="24D42836"/>
    <w:rsid w:val="24DD5B8E"/>
    <w:rsid w:val="24EC58A7"/>
    <w:rsid w:val="24F44C86"/>
    <w:rsid w:val="2519649B"/>
    <w:rsid w:val="254F010E"/>
    <w:rsid w:val="25853B30"/>
    <w:rsid w:val="25981AB5"/>
    <w:rsid w:val="25DF76E4"/>
    <w:rsid w:val="260D177C"/>
    <w:rsid w:val="26217CFD"/>
    <w:rsid w:val="26296BB1"/>
    <w:rsid w:val="262B2929"/>
    <w:rsid w:val="26597496"/>
    <w:rsid w:val="26606A77"/>
    <w:rsid w:val="266607D4"/>
    <w:rsid w:val="266B0F78"/>
    <w:rsid w:val="267C5EEA"/>
    <w:rsid w:val="2684018A"/>
    <w:rsid w:val="2697085D"/>
    <w:rsid w:val="26A1161A"/>
    <w:rsid w:val="26A5448A"/>
    <w:rsid w:val="26A8437A"/>
    <w:rsid w:val="26B80661"/>
    <w:rsid w:val="26BD3F79"/>
    <w:rsid w:val="26EA3F52"/>
    <w:rsid w:val="26F92A28"/>
    <w:rsid w:val="27673E35"/>
    <w:rsid w:val="27934C2A"/>
    <w:rsid w:val="27B64475"/>
    <w:rsid w:val="27CE17BE"/>
    <w:rsid w:val="27DA4607"/>
    <w:rsid w:val="27DF5779"/>
    <w:rsid w:val="27F01D31"/>
    <w:rsid w:val="28133675"/>
    <w:rsid w:val="2874680A"/>
    <w:rsid w:val="28E219C5"/>
    <w:rsid w:val="29437F8A"/>
    <w:rsid w:val="297B5976"/>
    <w:rsid w:val="29A13A56"/>
    <w:rsid w:val="29C84668"/>
    <w:rsid w:val="29D40626"/>
    <w:rsid w:val="29D82DC8"/>
    <w:rsid w:val="29F21B30"/>
    <w:rsid w:val="2A05446A"/>
    <w:rsid w:val="2A0B0AA8"/>
    <w:rsid w:val="2A16744D"/>
    <w:rsid w:val="2A314286"/>
    <w:rsid w:val="2A337FFE"/>
    <w:rsid w:val="2A9E6ADA"/>
    <w:rsid w:val="2AA809EC"/>
    <w:rsid w:val="2AC46633"/>
    <w:rsid w:val="2AD03A9F"/>
    <w:rsid w:val="2AE541D6"/>
    <w:rsid w:val="2B0F281A"/>
    <w:rsid w:val="2B261911"/>
    <w:rsid w:val="2B2F4C6A"/>
    <w:rsid w:val="2B3758CC"/>
    <w:rsid w:val="2B7B3A0B"/>
    <w:rsid w:val="2BBE7D9C"/>
    <w:rsid w:val="2BD15D21"/>
    <w:rsid w:val="2C063C1D"/>
    <w:rsid w:val="2C46226B"/>
    <w:rsid w:val="2C581F9E"/>
    <w:rsid w:val="2C5A5D16"/>
    <w:rsid w:val="2C640943"/>
    <w:rsid w:val="2C8B5ED0"/>
    <w:rsid w:val="2C956D4E"/>
    <w:rsid w:val="2CD5539D"/>
    <w:rsid w:val="2CF57952"/>
    <w:rsid w:val="2CF717B7"/>
    <w:rsid w:val="2D2D51D9"/>
    <w:rsid w:val="2D3B23C9"/>
    <w:rsid w:val="2D4D587B"/>
    <w:rsid w:val="2D757BA3"/>
    <w:rsid w:val="2DB41456"/>
    <w:rsid w:val="2DCA5E14"/>
    <w:rsid w:val="2DD036A2"/>
    <w:rsid w:val="2DDE64D3"/>
    <w:rsid w:val="2DF83A39"/>
    <w:rsid w:val="2E402CEA"/>
    <w:rsid w:val="2E530C6F"/>
    <w:rsid w:val="2E59361F"/>
    <w:rsid w:val="2E6E3675"/>
    <w:rsid w:val="2E866DE4"/>
    <w:rsid w:val="2E8C4181"/>
    <w:rsid w:val="2EBA6F40"/>
    <w:rsid w:val="2F01691D"/>
    <w:rsid w:val="2F333E35"/>
    <w:rsid w:val="2F4F4C58"/>
    <w:rsid w:val="2FA86752"/>
    <w:rsid w:val="2FB86339"/>
    <w:rsid w:val="2FC71915"/>
    <w:rsid w:val="2FED7630"/>
    <w:rsid w:val="2FFD5337"/>
    <w:rsid w:val="301937F3"/>
    <w:rsid w:val="305331A8"/>
    <w:rsid w:val="307153DD"/>
    <w:rsid w:val="309F1F4A"/>
    <w:rsid w:val="30BD6874"/>
    <w:rsid w:val="31010E56"/>
    <w:rsid w:val="310B72E5"/>
    <w:rsid w:val="31172428"/>
    <w:rsid w:val="31230DCD"/>
    <w:rsid w:val="313905F0"/>
    <w:rsid w:val="31480833"/>
    <w:rsid w:val="314865E7"/>
    <w:rsid w:val="317909ED"/>
    <w:rsid w:val="319A0E72"/>
    <w:rsid w:val="31CE1F4C"/>
    <w:rsid w:val="31E51A96"/>
    <w:rsid w:val="32502D52"/>
    <w:rsid w:val="325A42D7"/>
    <w:rsid w:val="32B86194"/>
    <w:rsid w:val="32BD6FFF"/>
    <w:rsid w:val="32D560F7"/>
    <w:rsid w:val="33122EA7"/>
    <w:rsid w:val="33134E71"/>
    <w:rsid w:val="33423060"/>
    <w:rsid w:val="335A2AA0"/>
    <w:rsid w:val="33AE5670"/>
    <w:rsid w:val="33B977C6"/>
    <w:rsid w:val="33C85C5B"/>
    <w:rsid w:val="33F425AD"/>
    <w:rsid w:val="34192013"/>
    <w:rsid w:val="34292AE3"/>
    <w:rsid w:val="344835B8"/>
    <w:rsid w:val="34B54432"/>
    <w:rsid w:val="34B63D06"/>
    <w:rsid w:val="34C401D1"/>
    <w:rsid w:val="34CE1050"/>
    <w:rsid w:val="34E72111"/>
    <w:rsid w:val="35042CC3"/>
    <w:rsid w:val="350B317B"/>
    <w:rsid w:val="35492DCC"/>
    <w:rsid w:val="35527ED3"/>
    <w:rsid w:val="35560799"/>
    <w:rsid w:val="35A0253D"/>
    <w:rsid w:val="35E86141"/>
    <w:rsid w:val="35ED3757"/>
    <w:rsid w:val="360D5BA8"/>
    <w:rsid w:val="361D21FA"/>
    <w:rsid w:val="3627310D"/>
    <w:rsid w:val="36314184"/>
    <w:rsid w:val="36631C6B"/>
    <w:rsid w:val="3671332B"/>
    <w:rsid w:val="3679148F"/>
    <w:rsid w:val="368F2A60"/>
    <w:rsid w:val="36A24542"/>
    <w:rsid w:val="36B50719"/>
    <w:rsid w:val="36D861B6"/>
    <w:rsid w:val="370C40B1"/>
    <w:rsid w:val="372E4027"/>
    <w:rsid w:val="377759CE"/>
    <w:rsid w:val="378606F1"/>
    <w:rsid w:val="37F92167"/>
    <w:rsid w:val="381476C1"/>
    <w:rsid w:val="381D1FAF"/>
    <w:rsid w:val="388A594F"/>
    <w:rsid w:val="38BE0728"/>
    <w:rsid w:val="38D73899"/>
    <w:rsid w:val="39180AEB"/>
    <w:rsid w:val="39276F80"/>
    <w:rsid w:val="39453E84"/>
    <w:rsid w:val="39494A89"/>
    <w:rsid w:val="399D7242"/>
    <w:rsid w:val="39B05732"/>
    <w:rsid w:val="3A396F6B"/>
    <w:rsid w:val="3A3F654C"/>
    <w:rsid w:val="3A445910"/>
    <w:rsid w:val="3A6A0B07"/>
    <w:rsid w:val="3A6A35C8"/>
    <w:rsid w:val="3AA34D2C"/>
    <w:rsid w:val="3ABD5DEE"/>
    <w:rsid w:val="3AF630AE"/>
    <w:rsid w:val="3B043A1D"/>
    <w:rsid w:val="3B3D272D"/>
    <w:rsid w:val="3B573CD4"/>
    <w:rsid w:val="3B5A188F"/>
    <w:rsid w:val="3B730AB3"/>
    <w:rsid w:val="3B9A18A1"/>
    <w:rsid w:val="3B9A1C8B"/>
    <w:rsid w:val="3BC27434"/>
    <w:rsid w:val="3BF868F0"/>
    <w:rsid w:val="3C065780"/>
    <w:rsid w:val="3C19766A"/>
    <w:rsid w:val="3C1A101E"/>
    <w:rsid w:val="3C44609B"/>
    <w:rsid w:val="3C9A5CBB"/>
    <w:rsid w:val="3CBA010B"/>
    <w:rsid w:val="3CC01BC6"/>
    <w:rsid w:val="3CC1149A"/>
    <w:rsid w:val="3CD411CD"/>
    <w:rsid w:val="3CDB4965"/>
    <w:rsid w:val="3CE36926"/>
    <w:rsid w:val="3D3A7E2A"/>
    <w:rsid w:val="3D85737C"/>
    <w:rsid w:val="3DA271D2"/>
    <w:rsid w:val="3DE11DF4"/>
    <w:rsid w:val="3E4B3711"/>
    <w:rsid w:val="3E55633E"/>
    <w:rsid w:val="3E7013C9"/>
    <w:rsid w:val="3EC86B10"/>
    <w:rsid w:val="3EF71B45"/>
    <w:rsid w:val="3EFB5137"/>
    <w:rsid w:val="3F2226C4"/>
    <w:rsid w:val="3F2435A5"/>
    <w:rsid w:val="3F32042D"/>
    <w:rsid w:val="3F4C5993"/>
    <w:rsid w:val="3F790AB1"/>
    <w:rsid w:val="3FC96FE3"/>
    <w:rsid w:val="3FDB6A39"/>
    <w:rsid w:val="3FE47979"/>
    <w:rsid w:val="404228F2"/>
    <w:rsid w:val="4051329A"/>
    <w:rsid w:val="405A7C3B"/>
    <w:rsid w:val="40874134"/>
    <w:rsid w:val="40A11D0E"/>
    <w:rsid w:val="40C63523"/>
    <w:rsid w:val="40F55BB6"/>
    <w:rsid w:val="415B1EBD"/>
    <w:rsid w:val="416F3BBA"/>
    <w:rsid w:val="418807D8"/>
    <w:rsid w:val="41B415CD"/>
    <w:rsid w:val="41B75ADD"/>
    <w:rsid w:val="41E7143A"/>
    <w:rsid w:val="41EF447F"/>
    <w:rsid w:val="420A5691"/>
    <w:rsid w:val="42276243"/>
    <w:rsid w:val="422B7AE1"/>
    <w:rsid w:val="424010B3"/>
    <w:rsid w:val="42470693"/>
    <w:rsid w:val="42E45EE2"/>
    <w:rsid w:val="42FB4E6F"/>
    <w:rsid w:val="43030A5E"/>
    <w:rsid w:val="431A1904"/>
    <w:rsid w:val="43271AF6"/>
    <w:rsid w:val="43374264"/>
    <w:rsid w:val="43413334"/>
    <w:rsid w:val="43783FE4"/>
    <w:rsid w:val="437B0FFD"/>
    <w:rsid w:val="438576C5"/>
    <w:rsid w:val="44071E88"/>
    <w:rsid w:val="4407632C"/>
    <w:rsid w:val="443D28AD"/>
    <w:rsid w:val="44776EF3"/>
    <w:rsid w:val="44861945"/>
    <w:rsid w:val="44F20D8A"/>
    <w:rsid w:val="45025018"/>
    <w:rsid w:val="45603F46"/>
    <w:rsid w:val="456F4189"/>
    <w:rsid w:val="45717F01"/>
    <w:rsid w:val="4577128F"/>
    <w:rsid w:val="45DB1281"/>
    <w:rsid w:val="46162856"/>
    <w:rsid w:val="461921EF"/>
    <w:rsid w:val="46284338"/>
    <w:rsid w:val="46840182"/>
    <w:rsid w:val="468D4830"/>
    <w:rsid w:val="46A85CC9"/>
    <w:rsid w:val="46AE2A8F"/>
    <w:rsid w:val="46CD560B"/>
    <w:rsid w:val="470A2745"/>
    <w:rsid w:val="473867FC"/>
    <w:rsid w:val="473E2065"/>
    <w:rsid w:val="475D580A"/>
    <w:rsid w:val="47E81FD1"/>
    <w:rsid w:val="482C0F74"/>
    <w:rsid w:val="48616187"/>
    <w:rsid w:val="48911333"/>
    <w:rsid w:val="489D335A"/>
    <w:rsid w:val="48A91D7A"/>
    <w:rsid w:val="48B63E7D"/>
    <w:rsid w:val="48FE4FC9"/>
    <w:rsid w:val="49127742"/>
    <w:rsid w:val="49373210"/>
    <w:rsid w:val="495F62C2"/>
    <w:rsid w:val="49816239"/>
    <w:rsid w:val="49971F00"/>
    <w:rsid w:val="4A1D0657"/>
    <w:rsid w:val="4A3379EF"/>
    <w:rsid w:val="4A4E2219"/>
    <w:rsid w:val="4AA72164"/>
    <w:rsid w:val="4AB03279"/>
    <w:rsid w:val="4AB50890"/>
    <w:rsid w:val="4B517E8D"/>
    <w:rsid w:val="4B5C0D0B"/>
    <w:rsid w:val="4B9C57F5"/>
    <w:rsid w:val="4BAE52DF"/>
    <w:rsid w:val="4C013661"/>
    <w:rsid w:val="4C341C88"/>
    <w:rsid w:val="4C746529"/>
    <w:rsid w:val="4C793B3F"/>
    <w:rsid w:val="4C856674"/>
    <w:rsid w:val="4C88431E"/>
    <w:rsid w:val="4C8C43C7"/>
    <w:rsid w:val="4CA50490"/>
    <w:rsid w:val="4CB37051"/>
    <w:rsid w:val="4CB6269D"/>
    <w:rsid w:val="4CF237CB"/>
    <w:rsid w:val="4CFC11CD"/>
    <w:rsid w:val="4D135D42"/>
    <w:rsid w:val="4D665E71"/>
    <w:rsid w:val="4D9145CE"/>
    <w:rsid w:val="4E000105"/>
    <w:rsid w:val="4E0A43BC"/>
    <w:rsid w:val="4E257ADB"/>
    <w:rsid w:val="4E263853"/>
    <w:rsid w:val="4E952A52"/>
    <w:rsid w:val="4EBB3F9B"/>
    <w:rsid w:val="4EEC05F8"/>
    <w:rsid w:val="4F1E452A"/>
    <w:rsid w:val="4F272DEC"/>
    <w:rsid w:val="4F2C6C47"/>
    <w:rsid w:val="4F61484A"/>
    <w:rsid w:val="4F675ED1"/>
    <w:rsid w:val="4F7D3946"/>
    <w:rsid w:val="4F9827A5"/>
    <w:rsid w:val="4FBF309A"/>
    <w:rsid w:val="4FC129F2"/>
    <w:rsid w:val="5003209D"/>
    <w:rsid w:val="50151DD1"/>
    <w:rsid w:val="50355FCF"/>
    <w:rsid w:val="5051105B"/>
    <w:rsid w:val="50551417"/>
    <w:rsid w:val="505C7A00"/>
    <w:rsid w:val="50602270"/>
    <w:rsid w:val="50620443"/>
    <w:rsid w:val="5076245F"/>
    <w:rsid w:val="50A9740F"/>
    <w:rsid w:val="50B50EA2"/>
    <w:rsid w:val="50CD6207"/>
    <w:rsid w:val="51037E7B"/>
    <w:rsid w:val="51271DBC"/>
    <w:rsid w:val="512C5624"/>
    <w:rsid w:val="51402E7D"/>
    <w:rsid w:val="51976F41"/>
    <w:rsid w:val="519B00B4"/>
    <w:rsid w:val="51A60F32"/>
    <w:rsid w:val="51AD6837"/>
    <w:rsid w:val="51CC64BF"/>
    <w:rsid w:val="51D9535E"/>
    <w:rsid w:val="51F85506"/>
    <w:rsid w:val="52185CBC"/>
    <w:rsid w:val="521F6F37"/>
    <w:rsid w:val="52306A4E"/>
    <w:rsid w:val="5253261E"/>
    <w:rsid w:val="52683E49"/>
    <w:rsid w:val="527F015A"/>
    <w:rsid w:val="52862B12"/>
    <w:rsid w:val="52950FA7"/>
    <w:rsid w:val="52A80FDF"/>
    <w:rsid w:val="52CA50F4"/>
    <w:rsid w:val="52CB6DE5"/>
    <w:rsid w:val="52D65847"/>
    <w:rsid w:val="530028C4"/>
    <w:rsid w:val="530C74BB"/>
    <w:rsid w:val="531E2D4A"/>
    <w:rsid w:val="536F5EA7"/>
    <w:rsid w:val="53BA6F17"/>
    <w:rsid w:val="53C47D96"/>
    <w:rsid w:val="53DA781F"/>
    <w:rsid w:val="53FA74D7"/>
    <w:rsid w:val="54130F98"/>
    <w:rsid w:val="546D21DB"/>
    <w:rsid w:val="54C65448"/>
    <w:rsid w:val="54D115D0"/>
    <w:rsid w:val="55081F04"/>
    <w:rsid w:val="550A7DB1"/>
    <w:rsid w:val="551E5284"/>
    <w:rsid w:val="556E7FB9"/>
    <w:rsid w:val="558A091B"/>
    <w:rsid w:val="55937A20"/>
    <w:rsid w:val="55C776C9"/>
    <w:rsid w:val="55EC7130"/>
    <w:rsid w:val="55F36710"/>
    <w:rsid w:val="56010E2D"/>
    <w:rsid w:val="562E0337"/>
    <w:rsid w:val="56701B0F"/>
    <w:rsid w:val="568D446F"/>
    <w:rsid w:val="56952EF3"/>
    <w:rsid w:val="56B77EFA"/>
    <w:rsid w:val="56BA37D7"/>
    <w:rsid w:val="56DA342C"/>
    <w:rsid w:val="56DC1461"/>
    <w:rsid w:val="56FA587C"/>
    <w:rsid w:val="570D462C"/>
    <w:rsid w:val="571F5B19"/>
    <w:rsid w:val="574B30C6"/>
    <w:rsid w:val="57812211"/>
    <w:rsid w:val="57B343A9"/>
    <w:rsid w:val="57BB500C"/>
    <w:rsid w:val="57F4051E"/>
    <w:rsid w:val="58A65CBC"/>
    <w:rsid w:val="58A75590"/>
    <w:rsid w:val="58D02DF6"/>
    <w:rsid w:val="593714C1"/>
    <w:rsid w:val="59425701"/>
    <w:rsid w:val="5954396A"/>
    <w:rsid w:val="59747B68"/>
    <w:rsid w:val="597E188A"/>
    <w:rsid w:val="599B5F7A"/>
    <w:rsid w:val="59D6437F"/>
    <w:rsid w:val="59EC5950"/>
    <w:rsid w:val="59F1740B"/>
    <w:rsid w:val="5A12178A"/>
    <w:rsid w:val="5A4F1B69"/>
    <w:rsid w:val="5A6545DD"/>
    <w:rsid w:val="5AB368DA"/>
    <w:rsid w:val="5ABD109B"/>
    <w:rsid w:val="5AEB5C08"/>
    <w:rsid w:val="5AEE323C"/>
    <w:rsid w:val="5B0E0C41"/>
    <w:rsid w:val="5B1777A8"/>
    <w:rsid w:val="5B242EC8"/>
    <w:rsid w:val="5B48305A"/>
    <w:rsid w:val="5B6360E6"/>
    <w:rsid w:val="5BCD2D4A"/>
    <w:rsid w:val="5BDE576D"/>
    <w:rsid w:val="5BEA3E6A"/>
    <w:rsid w:val="5C050F4B"/>
    <w:rsid w:val="5C1916A5"/>
    <w:rsid w:val="5C1C5EAD"/>
    <w:rsid w:val="5C25339C"/>
    <w:rsid w:val="5C270EC2"/>
    <w:rsid w:val="5C2A6B4C"/>
    <w:rsid w:val="5C3E7FB9"/>
    <w:rsid w:val="5C78040B"/>
    <w:rsid w:val="5C7B2FBB"/>
    <w:rsid w:val="5C8400C2"/>
    <w:rsid w:val="5CAE3391"/>
    <w:rsid w:val="5D1F7DEB"/>
    <w:rsid w:val="5D5201C0"/>
    <w:rsid w:val="5D665A1A"/>
    <w:rsid w:val="5D69550A"/>
    <w:rsid w:val="5D755C5D"/>
    <w:rsid w:val="5D767929"/>
    <w:rsid w:val="5D8F6D1E"/>
    <w:rsid w:val="5DAB5B22"/>
    <w:rsid w:val="5DB744C7"/>
    <w:rsid w:val="5DFB2606"/>
    <w:rsid w:val="5E084D23"/>
    <w:rsid w:val="5E0A0A9B"/>
    <w:rsid w:val="5E111E29"/>
    <w:rsid w:val="5E227B93"/>
    <w:rsid w:val="5E781EA8"/>
    <w:rsid w:val="5EDF5A84"/>
    <w:rsid w:val="5EE96902"/>
    <w:rsid w:val="5EF23A4F"/>
    <w:rsid w:val="5F0059FA"/>
    <w:rsid w:val="5F3A6EB8"/>
    <w:rsid w:val="5F3F6522"/>
    <w:rsid w:val="5F5E4D05"/>
    <w:rsid w:val="5F721590"/>
    <w:rsid w:val="5FA52F14"/>
    <w:rsid w:val="601125AA"/>
    <w:rsid w:val="6045400C"/>
    <w:rsid w:val="60AA14A4"/>
    <w:rsid w:val="60B7641A"/>
    <w:rsid w:val="6154572E"/>
    <w:rsid w:val="616B7363"/>
    <w:rsid w:val="61B31479"/>
    <w:rsid w:val="61B83BFA"/>
    <w:rsid w:val="61FC71BC"/>
    <w:rsid w:val="62023755"/>
    <w:rsid w:val="624F2F20"/>
    <w:rsid w:val="626B762E"/>
    <w:rsid w:val="62917095"/>
    <w:rsid w:val="62D31ADE"/>
    <w:rsid w:val="62F204BA"/>
    <w:rsid w:val="62F615EE"/>
    <w:rsid w:val="634C60C2"/>
    <w:rsid w:val="637C7D45"/>
    <w:rsid w:val="63D63797"/>
    <w:rsid w:val="63E345FC"/>
    <w:rsid w:val="641E2BAA"/>
    <w:rsid w:val="64260398"/>
    <w:rsid w:val="64465512"/>
    <w:rsid w:val="64623BBD"/>
    <w:rsid w:val="64813139"/>
    <w:rsid w:val="64E262CE"/>
    <w:rsid w:val="64E8140A"/>
    <w:rsid w:val="650C334B"/>
    <w:rsid w:val="651C3229"/>
    <w:rsid w:val="65420B1A"/>
    <w:rsid w:val="654F3237"/>
    <w:rsid w:val="65622F6B"/>
    <w:rsid w:val="656B0071"/>
    <w:rsid w:val="65830C58"/>
    <w:rsid w:val="65905D2A"/>
    <w:rsid w:val="65A438CA"/>
    <w:rsid w:val="65E07BAA"/>
    <w:rsid w:val="65FA13F5"/>
    <w:rsid w:val="66012783"/>
    <w:rsid w:val="660D1128"/>
    <w:rsid w:val="66187ACD"/>
    <w:rsid w:val="66434B4A"/>
    <w:rsid w:val="66495ED8"/>
    <w:rsid w:val="66505F24"/>
    <w:rsid w:val="66650F64"/>
    <w:rsid w:val="66A17AC3"/>
    <w:rsid w:val="66B2588A"/>
    <w:rsid w:val="66B43C9A"/>
    <w:rsid w:val="66C35C8B"/>
    <w:rsid w:val="67155899"/>
    <w:rsid w:val="67204E8B"/>
    <w:rsid w:val="6764746E"/>
    <w:rsid w:val="678418BE"/>
    <w:rsid w:val="679B2764"/>
    <w:rsid w:val="67C4023B"/>
    <w:rsid w:val="67C9107F"/>
    <w:rsid w:val="67E97973"/>
    <w:rsid w:val="682E257A"/>
    <w:rsid w:val="68774F7F"/>
    <w:rsid w:val="688356D2"/>
    <w:rsid w:val="68BF2482"/>
    <w:rsid w:val="694C6C07"/>
    <w:rsid w:val="69586B5E"/>
    <w:rsid w:val="69765236"/>
    <w:rsid w:val="69A41DA4"/>
    <w:rsid w:val="69CA7330"/>
    <w:rsid w:val="69DA3A17"/>
    <w:rsid w:val="69EC72A7"/>
    <w:rsid w:val="69F30635"/>
    <w:rsid w:val="69F820EF"/>
    <w:rsid w:val="6A0103A2"/>
    <w:rsid w:val="6A0D59EC"/>
    <w:rsid w:val="6A121AF2"/>
    <w:rsid w:val="6AC36259"/>
    <w:rsid w:val="6AFE54E3"/>
    <w:rsid w:val="6B2E2EE7"/>
    <w:rsid w:val="6B3158B9"/>
    <w:rsid w:val="6B540A35"/>
    <w:rsid w:val="6B6E3CD1"/>
    <w:rsid w:val="6B8F25DF"/>
    <w:rsid w:val="6BA047ED"/>
    <w:rsid w:val="6BC56ACF"/>
    <w:rsid w:val="6BF27EC6"/>
    <w:rsid w:val="6C1808E6"/>
    <w:rsid w:val="6C3D028D"/>
    <w:rsid w:val="6CB51A69"/>
    <w:rsid w:val="6CBF6EF4"/>
    <w:rsid w:val="6CC75EA2"/>
    <w:rsid w:val="6CF93084"/>
    <w:rsid w:val="6D2A7880"/>
    <w:rsid w:val="6D323B6A"/>
    <w:rsid w:val="6D485F0B"/>
    <w:rsid w:val="6D5E670D"/>
    <w:rsid w:val="6D855A48"/>
    <w:rsid w:val="6D9E3785"/>
    <w:rsid w:val="6DAD76E9"/>
    <w:rsid w:val="6DC81DD9"/>
    <w:rsid w:val="6DFB5D0A"/>
    <w:rsid w:val="6DFE2603"/>
    <w:rsid w:val="6E0C6C38"/>
    <w:rsid w:val="6E62292E"/>
    <w:rsid w:val="6EB73431"/>
    <w:rsid w:val="6EF56BFD"/>
    <w:rsid w:val="6EF951E5"/>
    <w:rsid w:val="6F14284D"/>
    <w:rsid w:val="6F4B0F13"/>
    <w:rsid w:val="6F54601A"/>
    <w:rsid w:val="6F71097A"/>
    <w:rsid w:val="6F767D3E"/>
    <w:rsid w:val="6FA348AB"/>
    <w:rsid w:val="6FA355B4"/>
    <w:rsid w:val="70541850"/>
    <w:rsid w:val="70996FB9"/>
    <w:rsid w:val="709F5073"/>
    <w:rsid w:val="70AB1C6A"/>
    <w:rsid w:val="70BB7EBB"/>
    <w:rsid w:val="70D50A94"/>
    <w:rsid w:val="710E2F06"/>
    <w:rsid w:val="71313367"/>
    <w:rsid w:val="716F0EE9"/>
    <w:rsid w:val="717D77DC"/>
    <w:rsid w:val="71CF3736"/>
    <w:rsid w:val="71D142AE"/>
    <w:rsid w:val="71D155D2"/>
    <w:rsid w:val="71DC40A5"/>
    <w:rsid w:val="71E55AFC"/>
    <w:rsid w:val="71F238C8"/>
    <w:rsid w:val="72502B6E"/>
    <w:rsid w:val="726133C3"/>
    <w:rsid w:val="7275252F"/>
    <w:rsid w:val="727B18BD"/>
    <w:rsid w:val="72832C39"/>
    <w:rsid w:val="72B75041"/>
    <w:rsid w:val="72F82395"/>
    <w:rsid w:val="7303264E"/>
    <w:rsid w:val="732D4BB8"/>
    <w:rsid w:val="73526138"/>
    <w:rsid w:val="735D2FC3"/>
    <w:rsid w:val="73724CC1"/>
    <w:rsid w:val="739667AE"/>
    <w:rsid w:val="74281823"/>
    <w:rsid w:val="746C5BB4"/>
    <w:rsid w:val="74C74B98"/>
    <w:rsid w:val="74EB1FA5"/>
    <w:rsid w:val="74F6722B"/>
    <w:rsid w:val="7529578E"/>
    <w:rsid w:val="754461E9"/>
    <w:rsid w:val="7553467E"/>
    <w:rsid w:val="7557416E"/>
    <w:rsid w:val="756E1740"/>
    <w:rsid w:val="75841B96"/>
    <w:rsid w:val="758C2BFC"/>
    <w:rsid w:val="75B275F6"/>
    <w:rsid w:val="761F61D8"/>
    <w:rsid w:val="76491C40"/>
    <w:rsid w:val="765406AD"/>
    <w:rsid w:val="76966F18"/>
    <w:rsid w:val="76E71DF8"/>
    <w:rsid w:val="76E9529A"/>
    <w:rsid w:val="770B0291"/>
    <w:rsid w:val="77316C41"/>
    <w:rsid w:val="77343F30"/>
    <w:rsid w:val="77380EA3"/>
    <w:rsid w:val="77585F7B"/>
    <w:rsid w:val="77602068"/>
    <w:rsid w:val="77796DAE"/>
    <w:rsid w:val="77974CF6"/>
    <w:rsid w:val="77A950A4"/>
    <w:rsid w:val="77B35994"/>
    <w:rsid w:val="77E141C3"/>
    <w:rsid w:val="77E15F71"/>
    <w:rsid w:val="77F2017E"/>
    <w:rsid w:val="77FE6B23"/>
    <w:rsid w:val="780305DD"/>
    <w:rsid w:val="78300C38"/>
    <w:rsid w:val="78323B4E"/>
    <w:rsid w:val="786077DD"/>
    <w:rsid w:val="78A376CA"/>
    <w:rsid w:val="78B6564F"/>
    <w:rsid w:val="78CA4C57"/>
    <w:rsid w:val="79413A1C"/>
    <w:rsid w:val="79517126"/>
    <w:rsid w:val="795F155E"/>
    <w:rsid w:val="796926C2"/>
    <w:rsid w:val="796B5920"/>
    <w:rsid w:val="79B3393D"/>
    <w:rsid w:val="79EA6F40"/>
    <w:rsid w:val="7A0B19CB"/>
    <w:rsid w:val="7A2111EE"/>
    <w:rsid w:val="7A3E0998"/>
    <w:rsid w:val="7A4822D7"/>
    <w:rsid w:val="7A5769BE"/>
    <w:rsid w:val="7A7A445B"/>
    <w:rsid w:val="7A7E3F4B"/>
    <w:rsid w:val="7AD47DA7"/>
    <w:rsid w:val="7AD95625"/>
    <w:rsid w:val="7ADC6EC3"/>
    <w:rsid w:val="7AE5221C"/>
    <w:rsid w:val="7B1B79EC"/>
    <w:rsid w:val="7B494559"/>
    <w:rsid w:val="7B6273C9"/>
    <w:rsid w:val="7B6D768F"/>
    <w:rsid w:val="7B8E228D"/>
    <w:rsid w:val="7BB0282A"/>
    <w:rsid w:val="7BDD2EF3"/>
    <w:rsid w:val="7C1729C7"/>
    <w:rsid w:val="7C1D2576"/>
    <w:rsid w:val="7C4A67DB"/>
    <w:rsid w:val="7C705B15"/>
    <w:rsid w:val="7C765821"/>
    <w:rsid w:val="7C7F035E"/>
    <w:rsid w:val="7C907F65"/>
    <w:rsid w:val="7CA80BB0"/>
    <w:rsid w:val="7CAD0B17"/>
    <w:rsid w:val="7CC3033B"/>
    <w:rsid w:val="7CC86647"/>
    <w:rsid w:val="7CDF52E4"/>
    <w:rsid w:val="7CE91AA1"/>
    <w:rsid w:val="7D2E16B6"/>
    <w:rsid w:val="7D3923AB"/>
    <w:rsid w:val="7D5E7332"/>
    <w:rsid w:val="7D8869A3"/>
    <w:rsid w:val="7DAB14FB"/>
    <w:rsid w:val="7DB44158"/>
    <w:rsid w:val="7DBB7264"/>
    <w:rsid w:val="7DC205F3"/>
    <w:rsid w:val="7DDA593C"/>
    <w:rsid w:val="7DF06F0E"/>
    <w:rsid w:val="7E447259"/>
    <w:rsid w:val="7E4D4360"/>
    <w:rsid w:val="7E895963"/>
    <w:rsid w:val="7E8A7362"/>
    <w:rsid w:val="7EFF51AF"/>
    <w:rsid w:val="7F17671C"/>
    <w:rsid w:val="7FA36202"/>
    <w:rsid w:val="7FCA7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figures"/>
    <w:next w:val="1"/>
    <w:unhideWhenUsed/>
    <w:qFormat/>
    <w:uiPriority w:val="0"/>
    <w:pPr>
      <w:widowControl w:val="0"/>
      <w:ind w:left="200" w:leftChars="200" w:hanging="200" w:hangingChars="200"/>
      <w:jc w:val="both"/>
    </w:pPr>
    <w:rPr>
      <w:rFonts w:ascii="Times New Roman" w:hAnsi="Times New Roman" w:eastAsia="宋体" w:cs="Times New Roman"/>
      <w:kern w:val="2"/>
      <w:sz w:val="21"/>
      <w:szCs w:val="24"/>
      <w:lang w:val="en-US" w:eastAsia="zh-CN" w:bidi="ar-SA"/>
    </w:rPr>
  </w:style>
  <w:style w:type="paragraph" w:styleId="3">
    <w:name w:val="annotation text"/>
    <w:basedOn w:val="1"/>
    <w:link w:val="14"/>
    <w:qFormat/>
    <w:uiPriority w:val="0"/>
    <w:pPr>
      <w:jc w:val="left"/>
    </w:pPr>
  </w:style>
  <w:style w:type="paragraph" w:styleId="4">
    <w:name w:val="footer"/>
    <w:basedOn w:val="1"/>
    <w:link w:val="17"/>
    <w:qFormat/>
    <w:uiPriority w:val="0"/>
    <w:pPr>
      <w:tabs>
        <w:tab w:val="center" w:pos="4153"/>
        <w:tab w:val="right" w:pos="8306"/>
      </w:tabs>
      <w:snapToGrid w:val="0"/>
      <w:jc w:val="left"/>
    </w:pPr>
    <w:rPr>
      <w:sz w:val="18"/>
      <w:szCs w:val="18"/>
    </w:rPr>
  </w:style>
  <w:style w:type="paragraph" w:styleId="5">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rFonts w:cs="Times New Roman"/>
      <w:kern w:val="0"/>
      <w:sz w:val="24"/>
    </w:rPr>
  </w:style>
  <w:style w:type="paragraph" w:styleId="7">
    <w:name w:val="annotation subject"/>
    <w:basedOn w:val="3"/>
    <w:next w:val="3"/>
    <w:link w:val="15"/>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styleId="12">
    <w:name w:val="annotation reference"/>
    <w:basedOn w:val="10"/>
    <w:qFormat/>
    <w:uiPriority w:val="0"/>
    <w:rPr>
      <w:sz w:val="21"/>
      <w:szCs w:val="21"/>
    </w:rPr>
  </w:style>
  <w:style w:type="paragraph" w:customStyle="1" w:styleId="13">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字符"/>
    <w:basedOn w:val="10"/>
    <w:link w:val="3"/>
    <w:qFormat/>
    <w:uiPriority w:val="0"/>
    <w:rPr>
      <w:rFonts w:asciiTheme="minorHAnsi" w:hAnsiTheme="minorHAnsi" w:eastAsiaTheme="minorEastAsia" w:cstheme="minorBidi"/>
      <w:kern w:val="2"/>
      <w:sz w:val="21"/>
      <w:szCs w:val="24"/>
    </w:rPr>
  </w:style>
  <w:style w:type="character" w:customStyle="1" w:styleId="15">
    <w:name w:val="批注主题 字符"/>
    <w:basedOn w:val="14"/>
    <w:link w:val="7"/>
    <w:qFormat/>
    <w:uiPriority w:val="0"/>
    <w:rPr>
      <w:rFonts w:asciiTheme="minorHAnsi" w:hAnsiTheme="minorHAnsi" w:eastAsiaTheme="minorEastAsia" w:cstheme="minorBidi"/>
      <w:b/>
      <w:bCs/>
      <w:kern w:val="2"/>
      <w:sz w:val="21"/>
      <w:szCs w:val="24"/>
    </w:rPr>
  </w:style>
  <w:style w:type="character" w:customStyle="1" w:styleId="16">
    <w:name w:val="页眉 字符"/>
    <w:basedOn w:val="10"/>
    <w:link w:val="5"/>
    <w:qFormat/>
    <w:uiPriority w:val="0"/>
    <w:rPr>
      <w:rFonts w:asciiTheme="minorHAnsi" w:hAnsiTheme="minorHAnsi" w:eastAsiaTheme="minorEastAsia" w:cstheme="minorBidi"/>
      <w:kern w:val="2"/>
      <w:sz w:val="18"/>
      <w:szCs w:val="18"/>
    </w:rPr>
  </w:style>
  <w:style w:type="character" w:customStyle="1" w:styleId="17">
    <w:name w:val="页脚 字符"/>
    <w:basedOn w:val="10"/>
    <w:link w:val="4"/>
    <w:qFormat/>
    <w:uiPriority w:val="0"/>
    <w:rPr>
      <w:rFonts w:asciiTheme="minorHAnsi" w:hAnsiTheme="minorHAnsi" w:eastAsiaTheme="minorEastAsia" w:cstheme="minorBidi"/>
      <w:kern w:val="2"/>
      <w:sz w:val="18"/>
      <w:szCs w:val="18"/>
    </w:rPr>
  </w:style>
  <w:style w:type="paragraph" w:customStyle="1" w:styleId="18">
    <w:name w:val="修订2"/>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1021</Words>
  <Characters>5825</Characters>
  <Lines>48</Lines>
  <Paragraphs>13</Paragraphs>
  <TotalTime>11</TotalTime>
  <ScaleCrop>false</ScaleCrop>
  <LinksUpToDate>false</LinksUpToDate>
  <CharactersWithSpaces>6833</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2022-11-11T06:01:00Z</dcterms:created>
  <dc:creator>admin</dc:creator>
  <cp:lastModifiedBy>一一风荷举</cp:lastModifiedBy>
  <cp:lastPrinted>2022-11-02T09:50:00Z</cp:lastPrinted>
  <dcterms:modified xsi:type="dcterms:W3CDTF">2022-11-11T06:55:59Z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37B5E1C9BE6E40248D24E41292F16378</vt:lpwstr>
  </property>
</Properties>
</file>